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1D18" w:rsidRDefault="003F1D18" w:rsidP="00AD74C7">
      <w:pPr>
        <w:pStyle w:val="Heading1"/>
        <w:spacing w:line="240" w:lineRule="auto"/>
        <w:rPr>
          <w:rFonts w:eastAsia="Times New Roman"/>
          <w:lang w:eastAsia="en-GB"/>
        </w:rPr>
      </w:pPr>
      <w:proofErr w:type="gramStart"/>
      <w:r>
        <w:rPr>
          <w:rFonts w:eastAsia="Times New Roman"/>
          <w:lang w:eastAsia="en-GB"/>
        </w:rPr>
        <w:t>Development paper.</w:t>
      </w:r>
      <w:proofErr w:type="gramEnd"/>
    </w:p>
    <w:p w:rsidR="00D805FD" w:rsidRDefault="00D805FD" w:rsidP="00AD74C7">
      <w:pPr>
        <w:pStyle w:val="Heading1"/>
        <w:spacing w:line="240" w:lineRule="auto"/>
        <w:rPr>
          <w:rFonts w:eastAsia="Times New Roman"/>
          <w:lang w:eastAsia="en-GB"/>
        </w:rPr>
      </w:pPr>
      <w:r>
        <w:rPr>
          <w:rFonts w:eastAsia="Times New Roman"/>
          <w:lang w:eastAsia="en-GB"/>
        </w:rPr>
        <w:t>Peter Lavender</w:t>
      </w:r>
    </w:p>
    <w:p w:rsidR="00A01B69" w:rsidRPr="00AD74C7" w:rsidRDefault="00AD74C7" w:rsidP="00AD74C7">
      <w:pPr>
        <w:pStyle w:val="Heading1"/>
        <w:spacing w:line="240" w:lineRule="auto"/>
        <w:rPr>
          <w:rFonts w:eastAsia="Times New Roman"/>
          <w:lang w:eastAsia="en-GB"/>
        </w:rPr>
      </w:pPr>
      <w:r>
        <w:rPr>
          <w:rFonts w:eastAsia="Times New Roman"/>
          <w:lang w:eastAsia="en-GB"/>
        </w:rPr>
        <w:t>‘</w:t>
      </w:r>
      <w:r w:rsidR="00C84A35" w:rsidRPr="00AD74C7">
        <w:rPr>
          <w:rFonts w:eastAsia="Times New Roman"/>
          <w:lang w:eastAsia="en-GB"/>
        </w:rPr>
        <w:t>P</w:t>
      </w:r>
      <w:r w:rsidR="00A01B69" w:rsidRPr="00AD74C7">
        <w:rPr>
          <w:rFonts w:eastAsia="Times New Roman"/>
          <w:lang w:eastAsia="en-GB"/>
        </w:rPr>
        <w:t>rovision for disabled learners in an age of uncertainty</w:t>
      </w:r>
      <w:r>
        <w:rPr>
          <w:rFonts w:eastAsia="Times New Roman"/>
          <w:lang w:eastAsia="en-GB"/>
        </w:rPr>
        <w:t>’</w:t>
      </w:r>
    </w:p>
    <w:p w:rsidR="00D07C2E" w:rsidRPr="00AD74C7" w:rsidRDefault="00D07C2E" w:rsidP="00AD74C7">
      <w:pPr>
        <w:spacing w:line="240" w:lineRule="auto"/>
        <w:rPr>
          <w:szCs w:val="24"/>
          <w:lang w:eastAsia="en-GB"/>
        </w:rPr>
      </w:pPr>
    </w:p>
    <w:p w:rsidR="003F1D18" w:rsidRDefault="00417F80" w:rsidP="00AD74C7">
      <w:pPr>
        <w:spacing w:line="240" w:lineRule="auto"/>
        <w:rPr>
          <w:szCs w:val="24"/>
          <w:lang w:eastAsia="en-GB"/>
        </w:rPr>
      </w:pPr>
      <w:r w:rsidRPr="00AD74C7">
        <w:rPr>
          <w:szCs w:val="24"/>
          <w:lang w:eastAsia="en-GB"/>
        </w:rPr>
        <w:t>First, I want to start with an appreciation</w:t>
      </w:r>
      <w:r w:rsidR="003F1D18">
        <w:rPr>
          <w:szCs w:val="24"/>
          <w:lang w:eastAsia="en-GB"/>
        </w:rPr>
        <w:t>.</w:t>
      </w:r>
      <w:r w:rsidRPr="00AD74C7">
        <w:rPr>
          <w:szCs w:val="24"/>
          <w:lang w:eastAsia="en-GB"/>
        </w:rPr>
        <w:t xml:space="preserve">  </w:t>
      </w:r>
      <w:r w:rsidR="00B337B7" w:rsidRPr="00AD74C7">
        <w:rPr>
          <w:szCs w:val="24"/>
          <w:lang w:eastAsia="en-GB"/>
        </w:rPr>
        <w:t>T</w:t>
      </w:r>
      <w:r w:rsidRPr="00AD74C7">
        <w:rPr>
          <w:szCs w:val="24"/>
          <w:lang w:eastAsia="en-GB"/>
        </w:rPr>
        <w:t>he area of education for adults and young people with disabilit</w:t>
      </w:r>
      <w:r w:rsidR="00B337B7" w:rsidRPr="00AD74C7">
        <w:rPr>
          <w:szCs w:val="24"/>
          <w:lang w:eastAsia="en-GB"/>
        </w:rPr>
        <w:t>ies</w:t>
      </w:r>
      <w:r w:rsidRPr="00AD74C7">
        <w:rPr>
          <w:szCs w:val="24"/>
          <w:lang w:eastAsia="en-GB"/>
        </w:rPr>
        <w:t xml:space="preserve"> is neither generously researched nor generously funded.  To make it </w:t>
      </w:r>
      <w:r w:rsidR="003F1D18">
        <w:rPr>
          <w:szCs w:val="24"/>
          <w:lang w:eastAsia="en-GB"/>
        </w:rPr>
        <w:t>a paper at this event</w:t>
      </w:r>
      <w:r w:rsidRPr="00AD74C7">
        <w:rPr>
          <w:szCs w:val="24"/>
          <w:lang w:eastAsia="en-GB"/>
        </w:rPr>
        <w:t xml:space="preserve"> is an important public statement.  I want also to </w:t>
      </w:r>
      <w:r w:rsidR="003F1D18">
        <w:rPr>
          <w:szCs w:val="24"/>
          <w:lang w:eastAsia="en-GB"/>
        </w:rPr>
        <w:t xml:space="preserve">use this chance to </w:t>
      </w:r>
      <w:r w:rsidRPr="00AD74C7">
        <w:rPr>
          <w:szCs w:val="24"/>
          <w:lang w:eastAsia="en-GB"/>
        </w:rPr>
        <w:t>thank those who have recognised</w:t>
      </w:r>
      <w:r w:rsidR="00084A07" w:rsidRPr="00AD74C7">
        <w:rPr>
          <w:szCs w:val="24"/>
          <w:lang w:eastAsia="en-GB"/>
        </w:rPr>
        <w:t xml:space="preserve"> inclusive learning as a priority to campaign for </w:t>
      </w:r>
      <w:r w:rsidR="003F1D18">
        <w:rPr>
          <w:szCs w:val="24"/>
          <w:lang w:eastAsia="en-GB"/>
        </w:rPr>
        <w:t>over many years</w:t>
      </w:r>
      <w:r w:rsidR="00084A07" w:rsidRPr="00AD74C7">
        <w:rPr>
          <w:szCs w:val="24"/>
          <w:lang w:eastAsia="en-GB"/>
        </w:rPr>
        <w:t>.</w:t>
      </w:r>
      <w:r w:rsidR="00D12038" w:rsidRPr="00AD74C7">
        <w:rPr>
          <w:szCs w:val="24"/>
          <w:lang w:eastAsia="en-GB"/>
        </w:rPr>
        <w:t xml:space="preserve">  </w:t>
      </w:r>
    </w:p>
    <w:p w:rsidR="00933C26" w:rsidRPr="00AD74C7" w:rsidRDefault="00AD74C7" w:rsidP="00AD74C7">
      <w:pPr>
        <w:spacing w:line="240" w:lineRule="auto"/>
        <w:rPr>
          <w:szCs w:val="24"/>
          <w:lang w:eastAsia="en-GB"/>
        </w:rPr>
      </w:pPr>
      <w:r>
        <w:rPr>
          <w:szCs w:val="24"/>
          <w:lang w:eastAsia="en-GB"/>
        </w:rPr>
        <w:t xml:space="preserve">I believe that </w:t>
      </w:r>
      <w:r w:rsidR="00084A07" w:rsidRPr="00AD74C7">
        <w:rPr>
          <w:szCs w:val="24"/>
          <w:lang w:eastAsia="en-GB"/>
        </w:rPr>
        <w:t>th</w:t>
      </w:r>
      <w:r w:rsidR="003F1D18">
        <w:rPr>
          <w:szCs w:val="24"/>
          <w:lang w:eastAsia="en-GB"/>
        </w:rPr>
        <w:t>e area of inclusive learning</w:t>
      </w:r>
      <w:r w:rsidR="00084A07" w:rsidRPr="00AD74C7">
        <w:rPr>
          <w:szCs w:val="24"/>
          <w:lang w:eastAsia="en-GB"/>
        </w:rPr>
        <w:t xml:space="preserve">, to quote </w:t>
      </w:r>
      <w:r w:rsidR="00D07C2E" w:rsidRPr="00AD74C7">
        <w:rPr>
          <w:szCs w:val="24"/>
          <w:lang w:eastAsia="en-GB"/>
        </w:rPr>
        <w:t xml:space="preserve">the Everyman character </w:t>
      </w:r>
      <w:r w:rsidR="00084A07" w:rsidRPr="00AD74C7">
        <w:rPr>
          <w:szCs w:val="24"/>
          <w:lang w:eastAsia="en-GB"/>
        </w:rPr>
        <w:t>Stephen Blackpool in</w:t>
      </w:r>
      <w:r w:rsidR="00E037C5" w:rsidRPr="00AD74C7">
        <w:rPr>
          <w:szCs w:val="24"/>
          <w:lang w:eastAsia="en-GB"/>
        </w:rPr>
        <w:t xml:space="preserve"> Dickens’</w:t>
      </w:r>
      <w:r w:rsidR="00084A07" w:rsidRPr="00AD74C7">
        <w:rPr>
          <w:szCs w:val="24"/>
          <w:lang w:eastAsia="en-GB"/>
        </w:rPr>
        <w:t xml:space="preserve"> </w:t>
      </w:r>
      <w:r w:rsidR="00084A07" w:rsidRPr="00AD74C7">
        <w:rPr>
          <w:i/>
          <w:szCs w:val="24"/>
          <w:lang w:eastAsia="en-GB"/>
        </w:rPr>
        <w:t>Hard Times</w:t>
      </w:r>
      <w:r w:rsidR="00084A07" w:rsidRPr="00AD74C7">
        <w:rPr>
          <w:szCs w:val="24"/>
          <w:lang w:eastAsia="en-GB"/>
        </w:rPr>
        <w:t xml:space="preserve">, </w:t>
      </w:r>
    </w:p>
    <w:p w:rsidR="00933C26" w:rsidRPr="00AD74C7" w:rsidRDefault="00084A07" w:rsidP="00AD74C7">
      <w:pPr>
        <w:spacing w:line="240" w:lineRule="auto"/>
        <w:rPr>
          <w:szCs w:val="24"/>
          <w:lang w:eastAsia="en-GB"/>
        </w:rPr>
      </w:pPr>
      <w:r w:rsidRPr="00AD74C7">
        <w:rPr>
          <w:szCs w:val="24"/>
          <w:lang w:eastAsia="en-GB"/>
        </w:rPr>
        <w:t>‘</w:t>
      </w:r>
      <w:r w:rsidRPr="00AD74C7">
        <w:rPr>
          <w:i/>
          <w:szCs w:val="24"/>
          <w:lang w:eastAsia="en-GB"/>
        </w:rPr>
        <w:t xml:space="preserve">’Tis </w:t>
      </w:r>
      <w:proofErr w:type="gramStart"/>
      <w:r w:rsidRPr="00AD74C7">
        <w:rPr>
          <w:i/>
          <w:szCs w:val="24"/>
          <w:lang w:eastAsia="en-GB"/>
        </w:rPr>
        <w:t>a</w:t>
      </w:r>
      <w:proofErr w:type="gramEnd"/>
      <w:r w:rsidRPr="00AD74C7">
        <w:rPr>
          <w:i/>
          <w:szCs w:val="24"/>
          <w:lang w:eastAsia="en-GB"/>
        </w:rPr>
        <w:t>’ a muddle...</w:t>
      </w:r>
      <w:r w:rsidRPr="00AD74C7">
        <w:rPr>
          <w:szCs w:val="24"/>
          <w:lang w:eastAsia="en-GB"/>
        </w:rPr>
        <w:t xml:space="preserve"> </w:t>
      </w:r>
      <w:r w:rsidR="00933C26" w:rsidRPr="00AD74C7">
        <w:rPr>
          <w:szCs w:val="24"/>
          <w:lang w:eastAsia="en-GB"/>
        </w:rPr>
        <w:tab/>
      </w:r>
      <w:r w:rsidRPr="00AD74C7">
        <w:rPr>
          <w:szCs w:val="24"/>
          <w:lang w:eastAsia="en-GB"/>
        </w:rPr>
        <w:t>‘</w:t>
      </w:r>
      <w:r w:rsidRPr="00AD74C7">
        <w:rPr>
          <w:i/>
          <w:szCs w:val="24"/>
          <w:lang w:eastAsia="en-GB"/>
        </w:rPr>
        <w:t xml:space="preserve">Tis </w:t>
      </w:r>
      <w:proofErr w:type="gramStart"/>
      <w:r w:rsidRPr="00AD74C7">
        <w:rPr>
          <w:i/>
          <w:szCs w:val="24"/>
          <w:lang w:eastAsia="en-GB"/>
        </w:rPr>
        <w:t>a</w:t>
      </w:r>
      <w:proofErr w:type="gramEnd"/>
      <w:r w:rsidRPr="00AD74C7">
        <w:rPr>
          <w:i/>
          <w:szCs w:val="24"/>
          <w:lang w:eastAsia="en-GB"/>
        </w:rPr>
        <w:t>’ a muddle</w:t>
      </w:r>
      <w:r w:rsidRPr="00AD74C7">
        <w:rPr>
          <w:szCs w:val="24"/>
          <w:lang w:eastAsia="en-GB"/>
        </w:rPr>
        <w:t xml:space="preserve">’.  </w:t>
      </w:r>
    </w:p>
    <w:p w:rsidR="00A01B69" w:rsidRPr="00AD74C7" w:rsidRDefault="00084A07" w:rsidP="00AD74C7">
      <w:pPr>
        <w:spacing w:line="240" w:lineRule="auto"/>
        <w:rPr>
          <w:szCs w:val="24"/>
          <w:lang w:eastAsia="en-GB"/>
        </w:rPr>
      </w:pPr>
      <w:r w:rsidRPr="00AD74C7">
        <w:rPr>
          <w:szCs w:val="24"/>
          <w:lang w:eastAsia="en-GB"/>
        </w:rPr>
        <w:t xml:space="preserve">I aim to begin with a look at what the Tomlinson Report (1996) </w:t>
      </w:r>
      <w:r w:rsidR="003F1D18">
        <w:rPr>
          <w:szCs w:val="24"/>
          <w:lang w:eastAsia="en-GB"/>
        </w:rPr>
        <w:t xml:space="preserve">in the UK </w:t>
      </w:r>
      <w:r w:rsidRPr="00AD74C7">
        <w:rPr>
          <w:szCs w:val="24"/>
          <w:lang w:eastAsia="en-GB"/>
        </w:rPr>
        <w:t xml:space="preserve">said about the education of adults and young people with disabilities and then at where I think we are now.  </w:t>
      </w:r>
      <w:r w:rsidR="00EE1EC2" w:rsidRPr="00AD74C7">
        <w:rPr>
          <w:szCs w:val="24"/>
          <w:lang w:eastAsia="en-GB"/>
        </w:rPr>
        <w:t>I</w:t>
      </w:r>
      <w:r w:rsidR="0053054F" w:rsidRPr="00AD74C7">
        <w:rPr>
          <w:szCs w:val="24"/>
          <w:lang w:eastAsia="en-GB"/>
        </w:rPr>
        <w:t>n many respects</w:t>
      </w:r>
      <w:r w:rsidR="00EE1EC2" w:rsidRPr="00AD74C7">
        <w:rPr>
          <w:szCs w:val="24"/>
          <w:lang w:eastAsia="en-GB"/>
        </w:rPr>
        <w:t xml:space="preserve"> the way this aspect of education is treated relates to a misunderstanding of what to call it.  Such a misunderstanding often </w:t>
      </w:r>
      <w:r w:rsidR="00B92BBA" w:rsidRPr="00AD74C7">
        <w:rPr>
          <w:szCs w:val="24"/>
          <w:lang w:eastAsia="en-GB"/>
        </w:rPr>
        <w:t xml:space="preserve">originates in trying to see it as </w:t>
      </w:r>
      <w:r w:rsidR="00EE1EC2" w:rsidRPr="00AD74C7">
        <w:rPr>
          <w:szCs w:val="24"/>
          <w:lang w:eastAsia="en-GB"/>
        </w:rPr>
        <w:t xml:space="preserve">a </w:t>
      </w:r>
      <w:r w:rsidR="00B92BBA" w:rsidRPr="00AD74C7">
        <w:rPr>
          <w:szCs w:val="24"/>
          <w:lang w:eastAsia="en-GB"/>
        </w:rPr>
        <w:t>‘</w:t>
      </w:r>
      <w:r w:rsidR="00EE1EC2" w:rsidRPr="00AD74C7">
        <w:rPr>
          <w:szCs w:val="24"/>
          <w:lang w:eastAsia="en-GB"/>
        </w:rPr>
        <w:t>curriculum area’</w:t>
      </w:r>
      <w:r w:rsidR="00B92BBA" w:rsidRPr="00AD74C7">
        <w:rPr>
          <w:szCs w:val="24"/>
          <w:lang w:eastAsia="en-GB"/>
        </w:rPr>
        <w:t xml:space="preserve"> which it isn’t, and merely a set of support systems, which it isn’t either.  The provision which we set out to look at over 18 years ago (1993) had not long before been the responsibility of over a hundred local authorit</w:t>
      </w:r>
      <w:r w:rsidR="003F1D18">
        <w:rPr>
          <w:szCs w:val="24"/>
          <w:lang w:eastAsia="en-GB"/>
        </w:rPr>
        <w:t>y administrations</w:t>
      </w:r>
      <w:r w:rsidR="00B92BBA" w:rsidRPr="00AD74C7">
        <w:rPr>
          <w:szCs w:val="24"/>
          <w:lang w:eastAsia="en-GB"/>
        </w:rPr>
        <w:t xml:space="preserve"> who by and large judged each case on its own merits and had wildly differing approaches and strategies.  </w:t>
      </w:r>
    </w:p>
    <w:p w:rsidR="00226CAB" w:rsidRPr="00AD74C7" w:rsidRDefault="00B92BBA" w:rsidP="00AD74C7">
      <w:pPr>
        <w:shd w:val="clear" w:color="auto" w:fill="FFFFFF"/>
        <w:spacing w:before="100" w:beforeAutospacing="1" w:after="60" w:line="240" w:lineRule="auto"/>
        <w:outlineLvl w:val="6"/>
        <w:rPr>
          <w:szCs w:val="24"/>
          <w:lang w:eastAsia="en-GB"/>
        </w:rPr>
      </w:pPr>
      <w:r w:rsidRPr="00AD74C7">
        <w:rPr>
          <w:szCs w:val="24"/>
          <w:lang w:eastAsia="en-GB"/>
        </w:rPr>
        <w:t>The Committee which resulted in the report</w:t>
      </w:r>
      <w:r w:rsidRPr="00AD74C7">
        <w:rPr>
          <w:rStyle w:val="FootnoteReference"/>
          <w:szCs w:val="24"/>
          <w:lang w:eastAsia="en-GB"/>
        </w:rPr>
        <w:footnoteReference w:id="1"/>
      </w:r>
      <w:r w:rsidRPr="00AD74C7">
        <w:rPr>
          <w:szCs w:val="24"/>
          <w:lang w:eastAsia="en-GB"/>
        </w:rPr>
        <w:t xml:space="preserve"> was set up by Sir William Stub</w:t>
      </w:r>
      <w:r w:rsidR="004F43DA" w:rsidRPr="00AD74C7">
        <w:rPr>
          <w:szCs w:val="24"/>
          <w:lang w:eastAsia="en-GB"/>
        </w:rPr>
        <w:t>b</w:t>
      </w:r>
      <w:r w:rsidRPr="00AD74C7">
        <w:rPr>
          <w:szCs w:val="24"/>
          <w:lang w:eastAsia="en-GB"/>
        </w:rPr>
        <w:t>s</w:t>
      </w:r>
      <w:r w:rsidR="00D32D1D" w:rsidRPr="00AD74C7">
        <w:rPr>
          <w:szCs w:val="24"/>
          <w:lang w:eastAsia="en-GB"/>
        </w:rPr>
        <w:t xml:space="preserve">, allegedly because he really wanted to know how to fund </w:t>
      </w:r>
      <w:r w:rsidR="00025F1D" w:rsidRPr="00AD74C7">
        <w:rPr>
          <w:szCs w:val="24"/>
          <w:lang w:eastAsia="en-GB"/>
        </w:rPr>
        <w:t>the provision</w:t>
      </w:r>
      <w:r w:rsidR="00D32D1D" w:rsidRPr="00AD74C7">
        <w:rPr>
          <w:szCs w:val="24"/>
          <w:lang w:eastAsia="en-GB"/>
        </w:rPr>
        <w:t xml:space="preserve">, but in reality because </w:t>
      </w:r>
      <w:r w:rsidR="00025F1D" w:rsidRPr="00AD74C7">
        <w:rPr>
          <w:szCs w:val="24"/>
          <w:lang w:eastAsia="en-GB"/>
        </w:rPr>
        <w:t>his Council and the colleges in England had new responsibilities.  H</w:t>
      </w:r>
      <w:r w:rsidR="00D32D1D" w:rsidRPr="00AD74C7">
        <w:rPr>
          <w:szCs w:val="24"/>
          <w:lang w:eastAsia="en-GB"/>
        </w:rPr>
        <w:t xml:space="preserve">e </w:t>
      </w:r>
      <w:r w:rsidR="00025F1D" w:rsidRPr="00AD74C7">
        <w:rPr>
          <w:szCs w:val="24"/>
          <w:lang w:eastAsia="en-GB"/>
        </w:rPr>
        <w:t xml:space="preserve">also </w:t>
      </w:r>
      <w:r w:rsidR="00D32D1D" w:rsidRPr="00AD74C7">
        <w:rPr>
          <w:szCs w:val="24"/>
          <w:lang w:eastAsia="en-GB"/>
        </w:rPr>
        <w:t xml:space="preserve">saw the good sense of spending time on a topic which </w:t>
      </w:r>
      <w:r w:rsidR="00933C26" w:rsidRPr="00AD74C7">
        <w:rPr>
          <w:szCs w:val="24"/>
          <w:lang w:eastAsia="en-GB"/>
        </w:rPr>
        <w:t>his</w:t>
      </w:r>
      <w:r w:rsidR="00D32D1D" w:rsidRPr="00AD74C7">
        <w:rPr>
          <w:szCs w:val="24"/>
          <w:lang w:eastAsia="en-GB"/>
        </w:rPr>
        <w:t xml:space="preserve"> I</w:t>
      </w:r>
      <w:r w:rsidR="00933C26" w:rsidRPr="00AD74C7">
        <w:rPr>
          <w:szCs w:val="24"/>
          <w:lang w:eastAsia="en-GB"/>
        </w:rPr>
        <w:t>nner London Education Authority</w:t>
      </w:r>
      <w:r w:rsidR="00D32D1D" w:rsidRPr="00AD74C7">
        <w:rPr>
          <w:szCs w:val="24"/>
          <w:lang w:eastAsia="en-GB"/>
        </w:rPr>
        <w:t xml:space="preserve"> had also found enormously difficult.  He was well aware that we needed to set down some solid principles of funding</w:t>
      </w:r>
      <w:r w:rsidR="00025F1D" w:rsidRPr="00AD74C7">
        <w:rPr>
          <w:szCs w:val="24"/>
          <w:lang w:eastAsia="en-GB"/>
        </w:rPr>
        <w:t xml:space="preserve"> but it was </w:t>
      </w:r>
      <w:r w:rsidR="00EA774D" w:rsidRPr="00AD74C7">
        <w:rPr>
          <w:szCs w:val="24"/>
          <w:lang w:eastAsia="en-GB"/>
        </w:rPr>
        <w:t xml:space="preserve">the </w:t>
      </w:r>
      <w:r w:rsidR="00025F1D" w:rsidRPr="00AD74C7">
        <w:rPr>
          <w:szCs w:val="24"/>
          <w:lang w:eastAsia="en-GB"/>
        </w:rPr>
        <w:t>1992 legislation that did the trick</w:t>
      </w:r>
      <w:r w:rsidR="00025F1D" w:rsidRPr="00AD74C7">
        <w:rPr>
          <w:rStyle w:val="FootnoteReference"/>
          <w:szCs w:val="24"/>
          <w:lang w:eastAsia="en-GB"/>
        </w:rPr>
        <w:footnoteReference w:id="2"/>
      </w:r>
      <w:r w:rsidR="005D5B52" w:rsidRPr="00AD74C7">
        <w:rPr>
          <w:szCs w:val="24"/>
          <w:lang w:eastAsia="en-GB"/>
        </w:rPr>
        <w:t>.</w:t>
      </w:r>
    </w:p>
    <w:p w:rsidR="00226CAB" w:rsidRPr="00AD74C7" w:rsidRDefault="00226CAB" w:rsidP="00AD74C7">
      <w:pPr>
        <w:spacing w:line="240" w:lineRule="auto"/>
        <w:rPr>
          <w:szCs w:val="24"/>
          <w:lang w:eastAsia="en-GB"/>
        </w:rPr>
      </w:pPr>
    </w:p>
    <w:p w:rsidR="005C06A9" w:rsidRPr="00AD74C7" w:rsidRDefault="00025F1D" w:rsidP="00AD74C7">
      <w:pPr>
        <w:spacing w:line="240" w:lineRule="auto"/>
        <w:rPr>
          <w:szCs w:val="24"/>
          <w:lang w:eastAsia="en-GB"/>
        </w:rPr>
      </w:pPr>
      <w:r w:rsidRPr="00AD74C7">
        <w:rPr>
          <w:szCs w:val="24"/>
          <w:lang w:eastAsia="en-GB"/>
        </w:rPr>
        <w:t xml:space="preserve">I make no apology for going back to 1993-6.  The report of the Tomlinson Committee was substantial, hard hitting and (I believe) well written.  </w:t>
      </w:r>
      <w:r w:rsidR="00D53715" w:rsidRPr="00AD74C7">
        <w:rPr>
          <w:szCs w:val="24"/>
          <w:lang w:eastAsia="en-GB"/>
        </w:rPr>
        <w:t xml:space="preserve">Speaking personally, it was the most significant educational report of my career and a privilege to help gather the evidence and write it.  </w:t>
      </w:r>
      <w:r w:rsidRPr="00AD74C7">
        <w:rPr>
          <w:szCs w:val="24"/>
          <w:lang w:eastAsia="en-GB"/>
        </w:rPr>
        <w:t xml:space="preserve">It identified a way of conceptualising the work that has stood the test of time, using the ‘inclusive learning’ concept which it defined and </w:t>
      </w:r>
      <w:r w:rsidR="002D3BAF" w:rsidRPr="00AD74C7">
        <w:rPr>
          <w:szCs w:val="24"/>
          <w:lang w:eastAsia="en-GB"/>
        </w:rPr>
        <w:t>made understandable to teachers and other practitioners</w:t>
      </w:r>
      <w:r w:rsidRPr="00AD74C7">
        <w:rPr>
          <w:szCs w:val="24"/>
          <w:lang w:eastAsia="en-GB"/>
        </w:rPr>
        <w:t xml:space="preserve">.  It led to a better way of funding the support for all disabled </w:t>
      </w:r>
      <w:r w:rsidRPr="00AD74C7">
        <w:rPr>
          <w:szCs w:val="24"/>
          <w:lang w:eastAsia="en-GB"/>
        </w:rPr>
        <w:lastRenderedPageBreak/>
        <w:t>learners in further education (FE)</w:t>
      </w:r>
      <w:r w:rsidR="002D3BAF" w:rsidRPr="00AD74C7">
        <w:rPr>
          <w:szCs w:val="24"/>
          <w:lang w:eastAsia="en-GB"/>
        </w:rPr>
        <w:t>, using the ‘additional learning support’ approach which was both individual and based on need</w:t>
      </w:r>
      <w:r w:rsidRPr="00AD74C7">
        <w:rPr>
          <w:szCs w:val="24"/>
          <w:lang w:eastAsia="en-GB"/>
        </w:rPr>
        <w:t>.</w:t>
      </w:r>
      <w:r w:rsidR="002D3BAF" w:rsidRPr="00AD74C7">
        <w:rPr>
          <w:szCs w:val="24"/>
          <w:lang w:eastAsia="en-GB"/>
        </w:rPr>
        <w:t xml:space="preserve">  </w:t>
      </w:r>
      <w:r w:rsidR="00B07389" w:rsidRPr="00AD74C7">
        <w:rPr>
          <w:szCs w:val="24"/>
          <w:lang w:eastAsia="en-GB"/>
        </w:rPr>
        <w:t>Joyce Deer</w:t>
      </w:r>
      <w:r w:rsidR="00933C26" w:rsidRPr="00AD74C7">
        <w:rPr>
          <w:szCs w:val="24"/>
          <w:lang w:eastAsia="en-GB"/>
        </w:rPr>
        <w:t>e</w:t>
      </w:r>
      <w:r w:rsidR="00B07389" w:rsidRPr="00AD74C7">
        <w:rPr>
          <w:szCs w:val="24"/>
          <w:lang w:eastAsia="en-GB"/>
        </w:rPr>
        <w:t xml:space="preserve"> </w:t>
      </w:r>
      <w:r w:rsidR="003F1D18">
        <w:rPr>
          <w:szCs w:val="24"/>
          <w:lang w:eastAsia="en-GB"/>
        </w:rPr>
        <w:t xml:space="preserve">(Ofsted) </w:t>
      </w:r>
      <w:r w:rsidR="00B07389" w:rsidRPr="00AD74C7">
        <w:rPr>
          <w:szCs w:val="24"/>
          <w:lang w:eastAsia="en-GB"/>
        </w:rPr>
        <w:t xml:space="preserve">has suggested to me that additional learning support might represent one of the few examples in the sector of affirmative equalities action, where resources are moved from </w:t>
      </w:r>
      <w:r w:rsidR="0006663A" w:rsidRPr="00AD74C7">
        <w:rPr>
          <w:szCs w:val="24"/>
          <w:lang w:eastAsia="en-GB"/>
        </w:rPr>
        <w:t>the majority</w:t>
      </w:r>
      <w:r w:rsidR="00B07389" w:rsidRPr="00AD74C7">
        <w:rPr>
          <w:szCs w:val="24"/>
          <w:lang w:eastAsia="en-GB"/>
        </w:rPr>
        <w:t xml:space="preserve"> to those who need it more</w:t>
      </w:r>
      <w:r w:rsidR="00032400" w:rsidRPr="00AD74C7">
        <w:rPr>
          <w:rStyle w:val="FootnoteReference"/>
          <w:szCs w:val="24"/>
          <w:lang w:eastAsia="en-GB"/>
        </w:rPr>
        <w:footnoteReference w:id="3"/>
      </w:r>
      <w:r w:rsidR="00B07389" w:rsidRPr="00AD74C7">
        <w:rPr>
          <w:szCs w:val="24"/>
          <w:lang w:eastAsia="en-GB"/>
        </w:rPr>
        <w:t xml:space="preserve">.  </w:t>
      </w:r>
      <w:r w:rsidR="005C06A9" w:rsidRPr="00AD74C7">
        <w:rPr>
          <w:szCs w:val="24"/>
          <w:lang w:eastAsia="en-GB"/>
        </w:rPr>
        <w:t xml:space="preserve">The Report </w:t>
      </w:r>
      <w:r w:rsidR="00B07389" w:rsidRPr="00AD74C7">
        <w:rPr>
          <w:szCs w:val="24"/>
          <w:lang w:eastAsia="en-GB"/>
        </w:rPr>
        <w:t>was the first</w:t>
      </w:r>
      <w:r w:rsidR="005C06A9" w:rsidRPr="00AD74C7">
        <w:rPr>
          <w:szCs w:val="24"/>
          <w:lang w:eastAsia="en-GB"/>
        </w:rPr>
        <w:t xml:space="preserve"> substantial report </w:t>
      </w:r>
      <w:r w:rsidR="00B07389" w:rsidRPr="00AD74C7">
        <w:rPr>
          <w:szCs w:val="24"/>
          <w:lang w:eastAsia="en-GB"/>
        </w:rPr>
        <w:t>on</w:t>
      </w:r>
      <w:r w:rsidR="005C06A9" w:rsidRPr="00AD74C7">
        <w:rPr>
          <w:szCs w:val="24"/>
          <w:lang w:eastAsia="en-GB"/>
        </w:rPr>
        <w:t xml:space="preserve"> learners with learning difficulties and/or disabilities in the post-compulsory education sector</w:t>
      </w:r>
      <w:r w:rsidR="003F1D18">
        <w:rPr>
          <w:szCs w:val="24"/>
          <w:lang w:eastAsia="en-GB"/>
        </w:rPr>
        <w:t xml:space="preserve"> in the UK</w:t>
      </w:r>
      <w:r w:rsidR="005C06A9" w:rsidRPr="00AD74C7">
        <w:rPr>
          <w:szCs w:val="24"/>
          <w:lang w:eastAsia="en-GB"/>
        </w:rPr>
        <w:t xml:space="preserve">.  It was based on evidence and deliberated </w:t>
      </w:r>
      <w:r w:rsidR="00512C40" w:rsidRPr="00AD74C7">
        <w:rPr>
          <w:szCs w:val="24"/>
          <w:lang w:eastAsia="en-GB"/>
        </w:rPr>
        <w:t xml:space="preserve">for </w:t>
      </w:r>
      <w:r w:rsidR="005C06A9" w:rsidRPr="00AD74C7">
        <w:rPr>
          <w:szCs w:val="24"/>
          <w:lang w:eastAsia="en-GB"/>
        </w:rPr>
        <w:t xml:space="preserve">over three years before publication.  </w:t>
      </w:r>
      <w:r w:rsidR="00110D63" w:rsidRPr="00AD74C7">
        <w:rPr>
          <w:szCs w:val="24"/>
          <w:lang w:eastAsia="en-GB"/>
        </w:rPr>
        <w:t xml:space="preserve">However, </w:t>
      </w:r>
      <w:r w:rsidR="002D3BAF" w:rsidRPr="00AD74C7">
        <w:rPr>
          <w:szCs w:val="24"/>
          <w:lang w:eastAsia="en-GB"/>
        </w:rPr>
        <w:t>its two main findings are often overlooked</w:t>
      </w:r>
      <w:r w:rsidR="005C06A9" w:rsidRPr="00AD74C7">
        <w:rPr>
          <w:szCs w:val="24"/>
          <w:lang w:eastAsia="en-GB"/>
        </w:rPr>
        <w:t>:</w:t>
      </w:r>
    </w:p>
    <w:p w:rsidR="002D3BAF" w:rsidRPr="00AD74C7" w:rsidRDefault="00933C26" w:rsidP="00AD74C7">
      <w:pPr>
        <w:pStyle w:val="ListParagraph"/>
        <w:spacing w:line="240" w:lineRule="auto"/>
        <w:ind w:left="855"/>
        <w:rPr>
          <w:szCs w:val="24"/>
          <w:lang w:eastAsia="en-GB"/>
        </w:rPr>
      </w:pPr>
      <w:r w:rsidRPr="00AD74C7">
        <w:rPr>
          <w:b/>
          <w:szCs w:val="24"/>
          <w:lang w:eastAsia="en-GB"/>
        </w:rPr>
        <w:t xml:space="preserve">First, </w:t>
      </w:r>
      <w:r w:rsidRPr="00AD74C7">
        <w:rPr>
          <w:b/>
          <w:i/>
          <w:szCs w:val="24"/>
          <w:lang w:eastAsia="en-GB"/>
        </w:rPr>
        <w:t>‘</w:t>
      </w:r>
      <w:r w:rsidR="005C06A9" w:rsidRPr="00AD74C7">
        <w:rPr>
          <w:i/>
          <w:szCs w:val="24"/>
          <w:lang w:eastAsia="en-GB"/>
        </w:rPr>
        <w:t>the quality of learning opportunities is poorer than for other students</w:t>
      </w:r>
      <w:r w:rsidRPr="00AD74C7">
        <w:rPr>
          <w:i/>
          <w:szCs w:val="24"/>
          <w:lang w:eastAsia="en-GB"/>
        </w:rPr>
        <w:t>’</w:t>
      </w:r>
      <w:r w:rsidR="005C06A9" w:rsidRPr="00AD74C7">
        <w:rPr>
          <w:szCs w:val="24"/>
          <w:lang w:eastAsia="en-GB"/>
        </w:rPr>
        <w:t>;</w:t>
      </w:r>
      <w:r w:rsidRPr="00AD74C7">
        <w:rPr>
          <w:szCs w:val="24"/>
          <w:lang w:eastAsia="en-GB"/>
        </w:rPr>
        <w:t xml:space="preserve"> and </w:t>
      </w:r>
    </w:p>
    <w:p w:rsidR="005C06A9" w:rsidRPr="00AD74C7" w:rsidRDefault="00933C26" w:rsidP="00AD74C7">
      <w:pPr>
        <w:pStyle w:val="ListParagraph"/>
        <w:spacing w:line="240" w:lineRule="auto"/>
        <w:ind w:left="855"/>
        <w:rPr>
          <w:szCs w:val="24"/>
          <w:lang w:eastAsia="en-GB"/>
        </w:rPr>
      </w:pPr>
      <w:r w:rsidRPr="00AD74C7">
        <w:rPr>
          <w:b/>
          <w:szCs w:val="24"/>
          <w:lang w:eastAsia="en-GB"/>
        </w:rPr>
        <w:t>Second, ‘</w:t>
      </w:r>
      <w:r w:rsidR="005C06A9" w:rsidRPr="00AD74C7">
        <w:rPr>
          <w:i/>
          <w:szCs w:val="24"/>
          <w:lang w:eastAsia="en-GB"/>
        </w:rPr>
        <w:t>some groups of learners with learning difficulties and/or disabilities are not yet properly represented in further education</w:t>
      </w:r>
      <w:r w:rsidRPr="00AD74C7">
        <w:rPr>
          <w:i/>
          <w:szCs w:val="24"/>
          <w:lang w:eastAsia="en-GB"/>
        </w:rPr>
        <w:t>’</w:t>
      </w:r>
      <w:r w:rsidR="005C06A9" w:rsidRPr="00AD74C7">
        <w:rPr>
          <w:szCs w:val="24"/>
          <w:lang w:eastAsia="en-GB"/>
        </w:rPr>
        <w:t>.</w:t>
      </w:r>
      <w:r w:rsidRPr="00AD74C7">
        <w:rPr>
          <w:szCs w:val="24"/>
          <w:lang w:eastAsia="en-GB"/>
        </w:rPr>
        <w:tab/>
      </w:r>
      <w:r w:rsidRPr="00AD74C7">
        <w:rPr>
          <w:szCs w:val="24"/>
          <w:lang w:eastAsia="en-GB"/>
        </w:rPr>
        <w:tab/>
      </w:r>
      <w:r w:rsidRPr="00AD74C7">
        <w:rPr>
          <w:szCs w:val="24"/>
          <w:lang w:eastAsia="en-GB"/>
        </w:rPr>
        <w:tab/>
      </w:r>
      <w:r w:rsidRPr="00AD74C7">
        <w:rPr>
          <w:szCs w:val="24"/>
          <w:lang w:eastAsia="en-GB"/>
        </w:rPr>
        <w:tab/>
      </w:r>
      <w:r w:rsidR="005C06A9" w:rsidRPr="00AD74C7">
        <w:rPr>
          <w:i/>
          <w:szCs w:val="24"/>
          <w:lang w:eastAsia="en-GB"/>
        </w:rPr>
        <w:t xml:space="preserve">Tomlinson </w:t>
      </w:r>
      <w:r w:rsidR="005C06A9" w:rsidRPr="00AD74C7">
        <w:rPr>
          <w:szCs w:val="24"/>
          <w:lang w:eastAsia="en-GB"/>
        </w:rPr>
        <w:t>1996:17</w:t>
      </w:r>
    </w:p>
    <w:p w:rsidR="002D3BAF" w:rsidRPr="00AD74C7" w:rsidRDefault="00AE533F" w:rsidP="00AD74C7">
      <w:pPr>
        <w:spacing w:line="240" w:lineRule="auto"/>
        <w:rPr>
          <w:szCs w:val="24"/>
          <w:lang w:eastAsia="en-GB"/>
        </w:rPr>
      </w:pPr>
      <w:r w:rsidRPr="00AD74C7">
        <w:rPr>
          <w:szCs w:val="24"/>
          <w:lang w:eastAsia="en-GB"/>
        </w:rPr>
        <w:t>On its publication t</w:t>
      </w:r>
      <w:r w:rsidR="005C06A9" w:rsidRPr="00AD74C7">
        <w:rPr>
          <w:szCs w:val="24"/>
          <w:lang w:eastAsia="en-GB"/>
        </w:rPr>
        <w:t xml:space="preserve">he </w:t>
      </w:r>
      <w:r w:rsidR="00933C26" w:rsidRPr="00AD74C7">
        <w:rPr>
          <w:szCs w:val="24"/>
          <w:lang w:eastAsia="en-GB"/>
        </w:rPr>
        <w:t>said</w:t>
      </w:r>
      <w:r w:rsidRPr="00AD74C7">
        <w:rPr>
          <w:szCs w:val="24"/>
          <w:lang w:eastAsia="en-GB"/>
        </w:rPr>
        <w:t>,</w:t>
      </w:r>
    </w:p>
    <w:p w:rsidR="003F1D18" w:rsidRDefault="00AE533F" w:rsidP="00AD74C7">
      <w:pPr>
        <w:spacing w:line="240" w:lineRule="auto"/>
        <w:ind w:left="720"/>
        <w:rPr>
          <w:b/>
          <w:i/>
          <w:szCs w:val="24"/>
        </w:rPr>
      </w:pPr>
      <w:r w:rsidRPr="00AD74C7">
        <w:rPr>
          <w:b/>
          <w:i/>
          <w:szCs w:val="24"/>
        </w:rPr>
        <w:t>Those whose education has been held back by disabilities need continuing opportunities more than most. Such a vision is not just an ide</w:t>
      </w:r>
      <w:r w:rsidR="003F1D18">
        <w:rPr>
          <w:b/>
          <w:i/>
          <w:szCs w:val="24"/>
        </w:rPr>
        <w:t>al, it makes economic sense too.</w:t>
      </w:r>
    </w:p>
    <w:p w:rsidR="00AE533F" w:rsidRPr="00AD74C7" w:rsidRDefault="003F1D18" w:rsidP="00AD74C7">
      <w:pPr>
        <w:spacing w:line="240" w:lineRule="auto"/>
        <w:ind w:left="720"/>
        <w:rPr>
          <w:b/>
          <w:i/>
          <w:szCs w:val="24"/>
        </w:rPr>
      </w:pPr>
      <w:r>
        <w:rPr>
          <w:b/>
          <w:i/>
          <w:szCs w:val="24"/>
        </w:rPr>
        <w:tab/>
      </w:r>
      <w:r>
        <w:rPr>
          <w:b/>
          <w:i/>
          <w:szCs w:val="24"/>
        </w:rPr>
        <w:tab/>
      </w:r>
      <w:r>
        <w:rPr>
          <w:b/>
          <w:i/>
          <w:szCs w:val="24"/>
        </w:rPr>
        <w:tab/>
      </w:r>
      <w:r>
        <w:rPr>
          <w:b/>
          <w:i/>
          <w:szCs w:val="24"/>
        </w:rPr>
        <w:tab/>
      </w:r>
      <w:r w:rsidRPr="00AD74C7">
        <w:rPr>
          <w:szCs w:val="24"/>
          <w:lang w:eastAsia="en-GB"/>
        </w:rPr>
        <w:t>Times Educational S</w:t>
      </w:r>
      <w:r>
        <w:rPr>
          <w:szCs w:val="24"/>
          <w:lang w:eastAsia="en-GB"/>
        </w:rPr>
        <w:t>upplement</w:t>
      </w:r>
      <w:r w:rsidR="00AE533F" w:rsidRPr="00AD74C7">
        <w:rPr>
          <w:szCs w:val="24"/>
        </w:rPr>
        <w:t>, 20</w:t>
      </w:r>
      <w:r w:rsidR="00933C26" w:rsidRPr="00AD74C7">
        <w:rPr>
          <w:szCs w:val="24"/>
        </w:rPr>
        <w:t>/09/96</w:t>
      </w:r>
    </w:p>
    <w:p w:rsidR="00D53715" w:rsidRPr="00AD74C7" w:rsidRDefault="00933C26" w:rsidP="00AD74C7">
      <w:pPr>
        <w:spacing w:line="240" w:lineRule="auto"/>
        <w:rPr>
          <w:szCs w:val="24"/>
          <w:lang w:eastAsia="en-GB"/>
        </w:rPr>
      </w:pPr>
      <w:r w:rsidRPr="00AD74C7">
        <w:rPr>
          <w:szCs w:val="24"/>
          <w:lang w:eastAsia="en-GB"/>
        </w:rPr>
        <w:t>So it was</w:t>
      </w:r>
      <w:r w:rsidR="00D53715" w:rsidRPr="00AD74C7">
        <w:rPr>
          <w:szCs w:val="24"/>
          <w:lang w:eastAsia="en-GB"/>
        </w:rPr>
        <w:t xml:space="preserve"> seen as being about </w:t>
      </w:r>
      <w:r w:rsidRPr="00AD74C7">
        <w:rPr>
          <w:szCs w:val="24"/>
          <w:lang w:eastAsia="en-GB"/>
        </w:rPr>
        <w:t xml:space="preserve">both </w:t>
      </w:r>
      <w:r w:rsidR="00D53715" w:rsidRPr="00AD74C7">
        <w:rPr>
          <w:szCs w:val="24"/>
          <w:lang w:eastAsia="en-GB"/>
        </w:rPr>
        <w:t xml:space="preserve">opportunities </w:t>
      </w:r>
      <w:r w:rsidR="00D53715" w:rsidRPr="00AD74C7">
        <w:rPr>
          <w:b/>
          <w:szCs w:val="24"/>
          <w:lang w:eastAsia="en-GB"/>
        </w:rPr>
        <w:t>and</w:t>
      </w:r>
      <w:r w:rsidR="00D53715" w:rsidRPr="00AD74C7">
        <w:rPr>
          <w:szCs w:val="24"/>
          <w:lang w:eastAsia="en-GB"/>
        </w:rPr>
        <w:t xml:space="preserve"> economic good sense</w:t>
      </w:r>
      <w:r w:rsidRPr="00AD74C7">
        <w:rPr>
          <w:szCs w:val="24"/>
          <w:lang w:eastAsia="en-GB"/>
        </w:rPr>
        <w:t>.  It</w:t>
      </w:r>
      <w:r w:rsidR="00D53715" w:rsidRPr="00AD74C7">
        <w:rPr>
          <w:szCs w:val="24"/>
          <w:lang w:eastAsia="en-GB"/>
        </w:rPr>
        <w:t xml:space="preserve"> </w:t>
      </w:r>
      <w:r w:rsidR="00D72FA5" w:rsidRPr="00AD74C7">
        <w:rPr>
          <w:szCs w:val="24"/>
          <w:lang w:eastAsia="en-GB"/>
        </w:rPr>
        <w:t>h</w:t>
      </w:r>
      <w:r w:rsidR="00D53715" w:rsidRPr="00AD74C7">
        <w:rPr>
          <w:szCs w:val="24"/>
          <w:lang w:eastAsia="en-GB"/>
        </w:rPr>
        <w:t xml:space="preserve">as echoes I think of relevance to today. </w:t>
      </w:r>
    </w:p>
    <w:p w:rsidR="00D53715" w:rsidRPr="00AD74C7" w:rsidRDefault="00D53715" w:rsidP="00AD74C7">
      <w:pPr>
        <w:spacing w:line="240" w:lineRule="auto"/>
        <w:rPr>
          <w:szCs w:val="24"/>
          <w:lang w:eastAsia="en-GB"/>
        </w:rPr>
      </w:pPr>
    </w:p>
    <w:p w:rsidR="00D53715" w:rsidRPr="00AD74C7" w:rsidRDefault="00D53715" w:rsidP="00AD74C7">
      <w:pPr>
        <w:spacing w:line="240" w:lineRule="auto"/>
        <w:rPr>
          <w:b/>
          <w:szCs w:val="24"/>
          <w:lang w:eastAsia="en-GB"/>
        </w:rPr>
      </w:pPr>
      <w:r w:rsidRPr="00AD74C7">
        <w:rPr>
          <w:b/>
          <w:szCs w:val="24"/>
          <w:lang w:eastAsia="en-GB"/>
        </w:rPr>
        <w:t>Quality</w:t>
      </w:r>
    </w:p>
    <w:p w:rsidR="00D53715" w:rsidRPr="00AD74C7" w:rsidRDefault="00EA774D" w:rsidP="00AD74C7">
      <w:pPr>
        <w:spacing w:line="240" w:lineRule="auto"/>
        <w:rPr>
          <w:szCs w:val="24"/>
          <w:lang w:eastAsia="en-GB"/>
        </w:rPr>
      </w:pPr>
      <w:r w:rsidRPr="00AD74C7">
        <w:rPr>
          <w:szCs w:val="24"/>
          <w:lang w:eastAsia="en-GB"/>
        </w:rPr>
        <w:t xml:space="preserve">The first main finding, then, </w:t>
      </w:r>
      <w:r w:rsidR="00512C40" w:rsidRPr="00AD74C7">
        <w:rPr>
          <w:szCs w:val="24"/>
          <w:lang w:eastAsia="en-GB"/>
        </w:rPr>
        <w:t xml:space="preserve">is </w:t>
      </w:r>
      <w:r w:rsidRPr="00AD74C7">
        <w:rPr>
          <w:szCs w:val="24"/>
          <w:lang w:eastAsia="en-GB"/>
        </w:rPr>
        <w:t xml:space="preserve">that the quality of provision is poorer than for other students.  Of course, this is hard to prove.  What was meant by ‘other students’?  </w:t>
      </w:r>
      <w:proofErr w:type="gramStart"/>
      <w:r w:rsidRPr="00AD74C7">
        <w:rPr>
          <w:szCs w:val="24"/>
          <w:lang w:eastAsia="en-GB"/>
        </w:rPr>
        <w:t>Other curriculum areas?</w:t>
      </w:r>
      <w:proofErr w:type="gramEnd"/>
      <w:r w:rsidRPr="00AD74C7">
        <w:rPr>
          <w:szCs w:val="24"/>
          <w:lang w:eastAsia="en-GB"/>
        </w:rPr>
        <w:t xml:space="preserve">  But the provision was not a curriculum area in itself given that more learners with disabilities were following courses in the so-called ‘mainstream’ (ie other curriculum areas) than in the Foundation curriculum area.  </w:t>
      </w:r>
      <w:r w:rsidR="00813B39" w:rsidRPr="00AD74C7">
        <w:rPr>
          <w:szCs w:val="24"/>
          <w:lang w:eastAsia="en-GB"/>
        </w:rPr>
        <w:t xml:space="preserve">It is true that provision exclusively for learners with learning difficulties was often poor quality.  The report moved lightly across such distinctions between the quality of provision for those offered learning support while studying, say, a level 3 course in art and design, and the quality of </w:t>
      </w:r>
      <w:r w:rsidR="00D72FA5" w:rsidRPr="00AD74C7">
        <w:rPr>
          <w:szCs w:val="24"/>
          <w:lang w:eastAsia="en-GB"/>
        </w:rPr>
        <w:t>Entry</w:t>
      </w:r>
      <w:r w:rsidR="00813B39" w:rsidRPr="00AD74C7">
        <w:rPr>
          <w:szCs w:val="24"/>
          <w:lang w:eastAsia="en-GB"/>
        </w:rPr>
        <w:t>-level courses</w:t>
      </w:r>
      <w:r w:rsidR="00512C40" w:rsidRPr="00AD74C7">
        <w:rPr>
          <w:szCs w:val="24"/>
          <w:lang w:eastAsia="en-GB"/>
        </w:rPr>
        <w:t xml:space="preserve"> exclusively for people with disabilities</w:t>
      </w:r>
      <w:r w:rsidR="00813B39" w:rsidRPr="00AD74C7">
        <w:rPr>
          <w:szCs w:val="24"/>
          <w:lang w:eastAsia="en-GB"/>
        </w:rPr>
        <w:t xml:space="preserve">. </w:t>
      </w:r>
      <w:r w:rsidRPr="00AD74C7">
        <w:rPr>
          <w:szCs w:val="24"/>
          <w:lang w:eastAsia="en-GB"/>
        </w:rPr>
        <w:t xml:space="preserve"> </w:t>
      </w:r>
    </w:p>
    <w:p w:rsidR="00025F1D" w:rsidRPr="00AD74C7" w:rsidRDefault="009806D9" w:rsidP="00AD74C7">
      <w:pPr>
        <w:spacing w:line="240" w:lineRule="auto"/>
        <w:rPr>
          <w:szCs w:val="24"/>
          <w:lang w:eastAsia="en-GB"/>
        </w:rPr>
      </w:pPr>
      <w:r w:rsidRPr="00AD74C7">
        <w:rPr>
          <w:szCs w:val="24"/>
          <w:lang w:eastAsia="en-GB"/>
        </w:rPr>
        <w:t>On quality the report found</w:t>
      </w:r>
      <w:r w:rsidR="00C53C20" w:rsidRPr="00AD74C7">
        <w:rPr>
          <w:szCs w:val="24"/>
          <w:lang w:eastAsia="en-GB"/>
        </w:rPr>
        <w:t xml:space="preserve"> these weaknesses</w:t>
      </w:r>
      <w:r w:rsidR="00813B39" w:rsidRPr="00AD74C7">
        <w:rPr>
          <w:szCs w:val="24"/>
          <w:lang w:eastAsia="en-GB"/>
        </w:rPr>
        <w:t>, most of which only really applied to provision for adults and young people with learning difficulties on specially designed courses for them:</w:t>
      </w:r>
    </w:p>
    <w:p w:rsidR="00D53715" w:rsidRPr="00AD74C7" w:rsidRDefault="00D53715" w:rsidP="00AD74C7">
      <w:pPr>
        <w:pStyle w:val="ListParagraph"/>
        <w:numPr>
          <w:ilvl w:val="0"/>
          <w:numId w:val="2"/>
        </w:numPr>
        <w:spacing w:line="240" w:lineRule="auto"/>
        <w:ind w:firstLine="0"/>
        <w:rPr>
          <w:szCs w:val="24"/>
          <w:lang w:eastAsia="en-GB"/>
        </w:rPr>
      </w:pPr>
      <w:r w:rsidRPr="00AD74C7">
        <w:rPr>
          <w:b/>
          <w:szCs w:val="24"/>
          <w:lang w:eastAsia="en-GB"/>
        </w:rPr>
        <w:t>an absence of comprehensive quality assurance arrangements</w:t>
      </w:r>
      <w:r w:rsidRPr="00AD74C7">
        <w:rPr>
          <w:szCs w:val="24"/>
          <w:lang w:eastAsia="en-GB"/>
        </w:rPr>
        <w:t xml:space="preserve"> suitable for monitoring learning</w:t>
      </w:r>
      <w:r w:rsidR="008A521A" w:rsidRPr="00AD74C7">
        <w:rPr>
          <w:szCs w:val="24"/>
          <w:lang w:eastAsia="en-GB"/>
        </w:rPr>
        <w:t xml:space="preserve">; </w:t>
      </w:r>
      <w:r w:rsidRPr="00AD74C7">
        <w:rPr>
          <w:szCs w:val="24"/>
          <w:lang w:eastAsia="en-GB"/>
        </w:rPr>
        <w:t>lack of high standards for provision designed specifically for students with learning difficulties</w:t>
      </w:r>
      <w:r w:rsidR="008A521A" w:rsidRPr="00AD74C7">
        <w:rPr>
          <w:szCs w:val="24"/>
          <w:lang w:eastAsia="en-GB"/>
        </w:rPr>
        <w:t xml:space="preserve">; </w:t>
      </w:r>
      <w:r w:rsidRPr="00AD74C7">
        <w:rPr>
          <w:szCs w:val="24"/>
          <w:lang w:eastAsia="en-GB"/>
        </w:rPr>
        <w:t>a focus on care rather than education in some residential specialist colleges (</w:t>
      </w:r>
      <w:r w:rsidR="00813B39" w:rsidRPr="00AD74C7">
        <w:rPr>
          <w:szCs w:val="24"/>
          <w:lang w:eastAsia="en-GB"/>
        </w:rPr>
        <w:t>Tomlinson, 1996:</w:t>
      </w:r>
      <w:r w:rsidRPr="00AD74C7">
        <w:rPr>
          <w:szCs w:val="24"/>
          <w:lang w:eastAsia="en-GB"/>
        </w:rPr>
        <w:t>160)</w:t>
      </w:r>
    </w:p>
    <w:p w:rsidR="00C53C20" w:rsidRPr="00AD74C7" w:rsidRDefault="00D53715" w:rsidP="00AD74C7">
      <w:pPr>
        <w:pStyle w:val="ListParagraph"/>
        <w:numPr>
          <w:ilvl w:val="0"/>
          <w:numId w:val="2"/>
        </w:numPr>
        <w:spacing w:line="240" w:lineRule="auto"/>
        <w:ind w:firstLine="0"/>
        <w:rPr>
          <w:szCs w:val="24"/>
          <w:lang w:eastAsia="en-GB"/>
        </w:rPr>
      </w:pPr>
      <w:r w:rsidRPr="00AD74C7">
        <w:rPr>
          <w:b/>
          <w:szCs w:val="24"/>
          <w:lang w:eastAsia="en-GB"/>
        </w:rPr>
        <w:lastRenderedPageBreak/>
        <w:t>some ineffective assessment of students’ requirements</w:t>
      </w:r>
      <w:r w:rsidRPr="00AD74C7">
        <w:rPr>
          <w:szCs w:val="24"/>
          <w:lang w:eastAsia="en-GB"/>
        </w:rPr>
        <w:t xml:space="preserve">; lack of match between requirements and available resources; </w:t>
      </w:r>
      <w:r w:rsidR="00C53C20" w:rsidRPr="00AD74C7">
        <w:rPr>
          <w:szCs w:val="24"/>
          <w:lang w:eastAsia="en-GB"/>
        </w:rPr>
        <w:t>poor use of students’ previous educational experiences</w:t>
      </w:r>
      <w:r w:rsidR="008A521A" w:rsidRPr="00AD74C7">
        <w:rPr>
          <w:szCs w:val="24"/>
          <w:lang w:eastAsia="en-GB"/>
        </w:rPr>
        <w:t xml:space="preserve">; </w:t>
      </w:r>
      <w:r w:rsidR="00C53C20" w:rsidRPr="00AD74C7">
        <w:rPr>
          <w:szCs w:val="24"/>
          <w:lang w:eastAsia="en-GB"/>
        </w:rPr>
        <w:t>insufficient collaboration between college and other services involved with the student (</w:t>
      </w:r>
      <w:r w:rsidR="00813B39" w:rsidRPr="00AD74C7">
        <w:rPr>
          <w:szCs w:val="24"/>
          <w:lang w:eastAsia="en-GB"/>
        </w:rPr>
        <w:t>Tomlinson, 1996:C</w:t>
      </w:r>
      <w:r w:rsidR="00C53C20" w:rsidRPr="00AD74C7">
        <w:rPr>
          <w:szCs w:val="24"/>
          <w:lang w:eastAsia="en-GB"/>
        </w:rPr>
        <w:t>h 5)</w:t>
      </w:r>
    </w:p>
    <w:p w:rsidR="00C53C20" w:rsidRPr="00AD74C7" w:rsidRDefault="00C53C20" w:rsidP="00AD74C7">
      <w:pPr>
        <w:pStyle w:val="ListParagraph"/>
        <w:numPr>
          <w:ilvl w:val="0"/>
          <w:numId w:val="2"/>
        </w:numPr>
        <w:spacing w:line="240" w:lineRule="auto"/>
        <w:ind w:firstLine="0"/>
        <w:rPr>
          <w:szCs w:val="24"/>
          <w:lang w:eastAsia="en-GB"/>
        </w:rPr>
      </w:pPr>
      <w:r w:rsidRPr="00AD74C7">
        <w:rPr>
          <w:b/>
          <w:szCs w:val="24"/>
          <w:lang w:eastAsia="en-GB"/>
        </w:rPr>
        <w:t>inadequate teacher training</w:t>
      </w:r>
      <w:r w:rsidRPr="00AD74C7">
        <w:rPr>
          <w:szCs w:val="24"/>
          <w:lang w:eastAsia="en-GB"/>
        </w:rPr>
        <w:t>; lack of a corporate strategy for managing teaching and learning; lack of systematic progression routes; no overall plan for provision (</w:t>
      </w:r>
      <w:r w:rsidR="00813B39" w:rsidRPr="00AD74C7">
        <w:rPr>
          <w:szCs w:val="24"/>
          <w:lang w:eastAsia="en-GB"/>
        </w:rPr>
        <w:t>Tomlinson, 1996:C</w:t>
      </w:r>
      <w:r w:rsidRPr="00AD74C7">
        <w:rPr>
          <w:szCs w:val="24"/>
          <w:lang w:eastAsia="en-GB"/>
        </w:rPr>
        <w:t>h 6)</w:t>
      </w:r>
    </w:p>
    <w:p w:rsidR="00C53C20" w:rsidRPr="00AD74C7" w:rsidRDefault="00C53C20" w:rsidP="00AD74C7">
      <w:pPr>
        <w:pStyle w:val="ListParagraph"/>
        <w:numPr>
          <w:ilvl w:val="0"/>
          <w:numId w:val="2"/>
        </w:numPr>
        <w:spacing w:line="240" w:lineRule="auto"/>
        <w:ind w:firstLine="0"/>
        <w:rPr>
          <w:szCs w:val="24"/>
          <w:lang w:eastAsia="en-GB"/>
        </w:rPr>
      </w:pPr>
      <w:r w:rsidRPr="00AD74C7">
        <w:rPr>
          <w:b/>
          <w:szCs w:val="24"/>
          <w:lang w:eastAsia="en-GB"/>
        </w:rPr>
        <w:t>limited range of support</w:t>
      </w:r>
      <w:r w:rsidRPr="00AD74C7">
        <w:rPr>
          <w:szCs w:val="24"/>
          <w:lang w:eastAsia="en-GB"/>
        </w:rPr>
        <w:t xml:space="preserve"> in some colleges; slow/ineffective response to some students’ support needs; lack of good quality external support services for colleges; loss of advisory services; uneven charging for services; confusion over who has responsibility to supply support services; no consensus on what generic services should be supplied; uncertainty about where responsibility lies for the provision of support; unsystematic organisation and provision of support (</w:t>
      </w:r>
      <w:r w:rsidR="00813B39" w:rsidRPr="00AD74C7">
        <w:rPr>
          <w:szCs w:val="24"/>
          <w:lang w:eastAsia="en-GB"/>
        </w:rPr>
        <w:t>Tomlinson, 1996:C</w:t>
      </w:r>
      <w:r w:rsidRPr="00AD74C7">
        <w:rPr>
          <w:szCs w:val="24"/>
          <w:lang w:eastAsia="en-GB"/>
        </w:rPr>
        <w:t>h 7)</w:t>
      </w:r>
    </w:p>
    <w:p w:rsidR="00C53C20" w:rsidRPr="00AD74C7" w:rsidRDefault="008A521A" w:rsidP="00AD74C7">
      <w:pPr>
        <w:pStyle w:val="ListParagraph"/>
        <w:numPr>
          <w:ilvl w:val="0"/>
          <w:numId w:val="2"/>
        </w:numPr>
        <w:spacing w:line="240" w:lineRule="auto"/>
        <w:ind w:firstLine="0"/>
        <w:rPr>
          <w:szCs w:val="24"/>
          <w:lang w:eastAsia="en-GB"/>
        </w:rPr>
      </w:pPr>
      <w:r w:rsidRPr="00AD74C7">
        <w:rPr>
          <w:b/>
          <w:szCs w:val="24"/>
          <w:lang w:eastAsia="en-GB"/>
        </w:rPr>
        <w:t>barriers in the way some qualifications are designed</w:t>
      </w:r>
      <w:r w:rsidRPr="00AD74C7">
        <w:rPr>
          <w:szCs w:val="24"/>
          <w:lang w:eastAsia="en-GB"/>
        </w:rPr>
        <w:t>; no nationally recognised and quality assured pathway for independence skills for adult life (</w:t>
      </w:r>
      <w:r w:rsidR="00813B39" w:rsidRPr="00AD74C7">
        <w:rPr>
          <w:szCs w:val="24"/>
          <w:lang w:eastAsia="en-GB"/>
        </w:rPr>
        <w:t>Tomlinson, 1996:C</w:t>
      </w:r>
      <w:r w:rsidRPr="00AD74C7">
        <w:rPr>
          <w:szCs w:val="24"/>
          <w:lang w:eastAsia="en-GB"/>
        </w:rPr>
        <w:t>h 9)</w:t>
      </w:r>
    </w:p>
    <w:p w:rsidR="00D72FA5" w:rsidRPr="00AD74C7" w:rsidRDefault="00E278ED" w:rsidP="00AD74C7">
      <w:pPr>
        <w:spacing w:line="240" w:lineRule="auto"/>
        <w:rPr>
          <w:szCs w:val="24"/>
          <w:lang w:eastAsia="en-GB"/>
        </w:rPr>
      </w:pPr>
      <w:r w:rsidRPr="00AD74C7">
        <w:rPr>
          <w:szCs w:val="24"/>
          <w:lang w:eastAsia="en-GB"/>
        </w:rPr>
        <w:t xml:space="preserve">The proposals to address these weaknesses were suggested largely </w:t>
      </w:r>
      <w:r w:rsidR="00933C26" w:rsidRPr="00AD74C7">
        <w:rPr>
          <w:szCs w:val="24"/>
          <w:lang w:eastAsia="en-GB"/>
        </w:rPr>
        <w:t>by</w:t>
      </w:r>
      <w:r w:rsidRPr="00AD74C7">
        <w:rPr>
          <w:szCs w:val="24"/>
          <w:lang w:eastAsia="en-GB"/>
        </w:rPr>
        <w:t xml:space="preserve"> the Committee team</w:t>
      </w:r>
      <w:r w:rsidR="000E7170" w:rsidRPr="00AD74C7">
        <w:rPr>
          <w:szCs w:val="24"/>
          <w:lang w:eastAsia="en-GB"/>
        </w:rPr>
        <w:t>, the evidence</w:t>
      </w:r>
      <w:r w:rsidRPr="00AD74C7">
        <w:rPr>
          <w:szCs w:val="24"/>
          <w:lang w:eastAsia="en-GB"/>
        </w:rPr>
        <w:t xml:space="preserve"> </w:t>
      </w:r>
      <w:r w:rsidR="00512C40" w:rsidRPr="00AD74C7">
        <w:rPr>
          <w:szCs w:val="24"/>
          <w:lang w:eastAsia="en-GB"/>
        </w:rPr>
        <w:t xml:space="preserve">sent in </w:t>
      </w:r>
      <w:r w:rsidRPr="00AD74C7">
        <w:rPr>
          <w:szCs w:val="24"/>
          <w:lang w:eastAsia="en-GB"/>
        </w:rPr>
        <w:t xml:space="preserve">and the inspectorate – in itself a new team but committed to a radical and urgent </w:t>
      </w:r>
      <w:r w:rsidR="00933C26" w:rsidRPr="00AD74C7">
        <w:rPr>
          <w:szCs w:val="24"/>
          <w:lang w:eastAsia="en-GB"/>
        </w:rPr>
        <w:t>improvement</w:t>
      </w:r>
      <w:r w:rsidRPr="00AD74C7">
        <w:rPr>
          <w:szCs w:val="24"/>
          <w:lang w:eastAsia="en-GB"/>
        </w:rPr>
        <w:t xml:space="preserve"> of provision in the sector.  </w:t>
      </w:r>
    </w:p>
    <w:p w:rsidR="002F061A" w:rsidRPr="00AD74C7" w:rsidRDefault="0037612B" w:rsidP="00AD74C7">
      <w:pPr>
        <w:spacing w:line="240" w:lineRule="auto"/>
        <w:rPr>
          <w:szCs w:val="24"/>
          <w:lang w:eastAsia="en-GB"/>
        </w:rPr>
      </w:pPr>
      <w:r w:rsidRPr="00AD74C7">
        <w:rPr>
          <w:szCs w:val="24"/>
          <w:lang w:eastAsia="en-GB"/>
        </w:rPr>
        <w:t>More recent judgements about the quality of provision for adults and young people can be found in</w:t>
      </w:r>
      <w:r w:rsidR="00512C40" w:rsidRPr="00AD74C7">
        <w:rPr>
          <w:szCs w:val="24"/>
          <w:lang w:eastAsia="en-GB"/>
        </w:rPr>
        <w:t xml:space="preserve"> Ofsted’s</w:t>
      </w:r>
      <w:r w:rsidRPr="00AD74C7">
        <w:rPr>
          <w:szCs w:val="24"/>
          <w:lang w:eastAsia="en-GB"/>
        </w:rPr>
        <w:t xml:space="preserve"> </w:t>
      </w:r>
      <w:r w:rsidRPr="00AD74C7">
        <w:rPr>
          <w:i/>
          <w:szCs w:val="24"/>
          <w:lang w:eastAsia="en-GB"/>
        </w:rPr>
        <w:t xml:space="preserve">Special educational needs and disability review: statements are not enough: </w:t>
      </w:r>
      <w:r w:rsidR="00E278ED" w:rsidRPr="00AD74C7">
        <w:rPr>
          <w:i/>
          <w:szCs w:val="24"/>
          <w:lang w:eastAsia="en-GB"/>
        </w:rPr>
        <w:t xml:space="preserve"> </w:t>
      </w:r>
      <w:r w:rsidR="002F061A" w:rsidRPr="00AD74C7">
        <w:rPr>
          <w:szCs w:val="24"/>
          <w:lang w:eastAsia="en-GB"/>
        </w:rPr>
        <w:t>(Ofsted, 2010)</w:t>
      </w:r>
      <w:r w:rsidR="002F061A" w:rsidRPr="00AD74C7">
        <w:rPr>
          <w:rStyle w:val="FootnoteReference"/>
          <w:szCs w:val="24"/>
          <w:lang w:eastAsia="en-GB"/>
        </w:rPr>
        <w:footnoteReference w:id="4"/>
      </w:r>
      <w:r w:rsidR="002F061A" w:rsidRPr="00AD74C7">
        <w:rPr>
          <w:szCs w:val="24"/>
          <w:lang w:eastAsia="en-GB"/>
        </w:rPr>
        <w:t xml:space="preserve">.  Here we find that young people in colleges </w:t>
      </w:r>
      <w:r w:rsidR="00FB77AB" w:rsidRPr="00AD74C7">
        <w:rPr>
          <w:szCs w:val="24"/>
          <w:lang w:eastAsia="en-GB"/>
        </w:rPr>
        <w:t xml:space="preserve">(up to the age of 19) </w:t>
      </w:r>
      <w:r w:rsidR="002F061A" w:rsidRPr="00AD74C7">
        <w:rPr>
          <w:szCs w:val="24"/>
          <w:lang w:eastAsia="en-GB"/>
        </w:rPr>
        <w:t>who received additional learning support achieved</w:t>
      </w:r>
      <w:r w:rsidR="00512C40" w:rsidRPr="00AD74C7">
        <w:rPr>
          <w:szCs w:val="24"/>
          <w:lang w:eastAsia="en-GB"/>
        </w:rPr>
        <w:t>,</w:t>
      </w:r>
      <w:r w:rsidR="002F061A" w:rsidRPr="00AD74C7">
        <w:rPr>
          <w:szCs w:val="24"/>
          <w:lang w:eastAsia="en-GB"/>
        </w:rPr>
        <w:t xml:space="preserve"> </w:t>
      </w:r>
      <w:r w:rsidR="00512C40" w:rsidRPr="00AD74C7">
        <w:rPr>
          <w:i/>
          <w:szCs w:val="24"/>
          <w:lang w:eastAsia="en-GB"/>
        </w:rPr>
        <w:t>‘</w:t>
      </w:r>
      <w:r w:rsidR="002F061A" w:rsidRPr="00AD74C7">
        <w:rPr>
          <w:i/>
          <w:szCs w:val="24"/>
          <w:lang w:eastAsia="en-GB"/>
        </w:rPr>
        <w:t>...as well as other students on the same courses</w:t>
      </w:r>
      <w:r w:rsidR="00933C26" w:rsidRPr="00AD74C7">
        <w:rPr>
          <w:i/>
          <w:szCs w:val="24"/>
          <w:lang w:eastAsia="en-GB"/>
        </w:rPr>
        <w:t>’</w:t>
      </w:r>
      <w:r w:rsidR="002F061A" w:rsidRPr="00AD74C7">
        <w:rPr>
          <w:i/>
          <w:szCs w:val="24"/>
          <w:lang w:eastAsia="en-GB"/>
        </w:rPr>
        <w:t xml:space="preserve"> </w:t>
      </w:r>
      <w:r w:rsidR="002F061A" w:rsidRPr="00AD74C7">
        <w:rPr>
          <w:szCs w:val="24"/>
          <w:lang w:eastAsia="en-GB"/>
        </w:rPr>
        <w:t>(Ofsted, 2010:9)</w:t>
      </w:r>
      <w:r w:rsidR="00933C26" w:rsidRPr="00AD74C7">
        <w:rPr>
          <w:szCs w:val="24"/>
          <w:lang w:eastAsia="en-GB"/>
        </w:rPr>
        <w:t>.</w:t>
      </w:r>
    </w:p>
    <w:p w:rsidR="002F061A" w:rsidRPr="00AD74C7" w:rsidRDefault="002F061A" w:rsidP="00AD74C7">
      <w:pPr>
        <w:spacing w:line="240" w:lineRule="auto"/>
        <w:rPr>
          <w:szCs w:val="24"/>
        </w:rPr>
      </w:pPr>
      <w:r w:rsidRPr="00AD74C7">
        <w:rPr>
          <w:szCs w:val="24"/>
          <w:lang w:eastAsia="en-GB"/>
        </w:rPr>
        <w:t xml:space="preserve">The good news, though, is that initial assessment of students with disabilities enrolled on </w:t>
      </w:r>
      <w:r w:rsidR="00D72FA5" w:rsidRPr="00AD74C7">
        <w:rPr>
          <w:szCs w:val="24"/>
          <w:lang w:eastAsia="en-GB"/>
        </w:rPr>
        <w:t>‘</w:t>
      </w:r>
      <w:r w:rsidRPr="00AD74C7">
        <w:rPr>
          <w:szCs w:val="24"/>
          <w:lang w:eastAsia="en-GB"/>
        </w:rPr>
        <w:t>mainstream courses</w:t>
      </w:r>
      <w:r w:rsidR="00D72FA5" w:rsidRPr="00AD74C7">
        <w:rPr>
          <w:szCs w:val="24"/>
          <w:lang w:eastAsia="en-GB"/>
        </w:rPr>
        <w:t>’</w:t>
      </w:r>
      <w:r w:rsidRPr="00AD74C7">
        <w:rPr>
          <w:szCs w:val="24"/>
          <w:lang w:eastAsia="en-GB"/>
        </w:rPr>
        <w:t xml:space="preserve"> is ‘</w:t>
      </w:r>
      <w:r w:rsidRPr="00AD74C7">
        <w:rPr>
          <w:i/>
          <w:szCs w:val="24"/>
          <w:lang w:eastAsia="en-GB"/>
        </w:rPr>
        <w:t xml:space="preserve">generally effective’ </w:t>
      </w:r>
      <w:r w:rsidRPr="00AD74C7">
        <w:rPr>
          <w:szCs w:val="24"/>
          <w:lang w:eastAsia="en-GB"/>
        </w:rPr>
        <w:t xml:space="preserve">(p 11) leading to appropriate levels of support.  However, this was not so of those learners on Entry level courses where inspectors </w:t>
      </w:r>
      <w:r w:rsidRPr="00AD74C7">
        <w:rPr>
          <w:szCs w:val="24"/>
        </w:rPr>
        <w:t>found,</w:t>
      </w:r>
    </w:p>
    <w:p w:rsidR="002F061A" w:rsidRPr="00AD74C7" w:rsidRDefault="002F061A" w:rsidP="00AD74C7">
      <w:pPr>
        <w:spacing w:line="240" w:lineRule="auto"/>
        <w:ind w:left="720"/>
        <w:rPr>
          <w:i/>
          <w:szCs w:val="24"/>
        </w:rPr>
      </w:pPr>
      <w:r w:rsidRPr="00AD74C7">
        <w:rPr>
          <w:b/>
          <w:i/>
          <w:szCs w:val="24"/>
        </w:rPr>
        <w:t>‘...the assessment of students for pre-entry and entry level courses was more variable, frequently leading to less effective specialist support.</w:t>
      </w:r>
      <w:r w:rsidR="00512C40" w:rsidRPr="00AD74C7">
        <w:rPr>
          <w:b/>
          <w:i/>
          <w:szCs w:val="24"/>
        </w:rPr>
        <w:t>’</w:t>
      </w:r>
      <w:r w:rsidRPr="00AD74C7">
        <w:rPr>
          <w:b/>
          <w:i/>
          <w:szCs w:val="24"/>
        </w:rPr>
        <w:t xml:space="preserve"> </w:t>
      </w:r>
      <w:r w:rsidR="00512C40" w:rsidRPr="00AD74C7">
        <w:rPr>
          <w:b/>
          <w:i/>
          <w:szCs w:val="24"/>
        </w:rPr>
        <w:tab/>
      </w:r>
      <w:r w:rsidR="00512C40" w:rsidRPr="00AD74C7">
        <w:rPr>
          <w:b/>
          <w:i/>
          <w:szCs w:val="24"/>
        </w:rPr>
        <w:tab/>
      </w:r>
      <w:r w:rsidRPr="00AD74C7">
        <w:rPr>
          <w:szCs w:val="24"/>
          <w:lang w:eastAsia="en-GB"/>
        </w:rPr>
        <w:t>(Ofsted 2010:11)</w:t>
      </w:r>
    </w:p>
    <w:p w:rsidR="00A9300D" w:rsidRPr="00AD74C7" w:rsidRDefault="00813B39" w:rsidP="00AD74C7">
      <w:pPr>
        <w:spacing w:line="240" w:lineRule="auto"/>
        <w:rPr>
          <w:szCs w:val="24"/>
          <w:lang w:eastAsia="en-GB"/>
        </w:rPr>
      </w:pPr>
      <w:r w:rsidRPr="00AD74C7">
        <w:rPr>
          <w:szCs w:val="24"/>
          <w:lang w:eastAsia="en-GB"/>
        </w:rPr>
        <w:t xml:space="preserve">It was these weaknesses </w:t>
      </w:r>
      <w:r w:rsidR="00BD6003" w:rsidRPr="00AD74C7">
        <w:rPr>
          <w:szCs w:val="24"/>
          <w:lang w:eastAsia="en-GB"/>
        </w:rPr>
        <w:t xml:space="preserve">in ‘Entry-level’ courses that attracted most of </w:t>
      </w:r>
      <w:r w:rsidRPr="00AD74C7">
        <w:rPr>
          <w:szCs w:val="24"/>
          <w:lang w:eastAsia="en-GB"/>
        </w:rPr>
        <w:t xml:space="preserve">the comments on quality </w:t>
      </w:r>
      <w:r w:rsidR="00A9300D" w:rsidRPr="00AD74C7">
        <w:rPr>
          <w:szCs w:val="24"/>
          <w:lang w:eastAsia="en-GB"/>
        </w:rPr>
        <w:t xml:space="preserve">of teaching and learning in </w:t>
      </w:r>
      <w:r w:rsidR="00BD6003" w:rsidRPr="00AD74C7">
        <w:rPr>
          <w:szCs w:val="24"/>
          <w:lang w:eastAsia="en-GB"/>
        </w:rPr>
        <w:t xml:space="preserve">the </w:t>
      </w:r>
      <w:r w:rsidR="00A9300D" w:rsidRPr="00AD74C7">
        <w:rPr>
          <w:szCs w:val="24"/>
          <w:lang w:eastAsia="en-GB"/>
        </w:rPr>
        <w:t>Tomlinson</w:t>
      </w:r>
      <w:r w:rsidR="00BD6003" w:rsidRPr="00AD74C7">
        <w:rPr>
          <w:szCs w:val="24"/>
          <w:lang w:eastAsia="en-GB"/>
        </w:rPr>
        <w:t xml:space="preserve"> Report.</w:t>
      </w:r>
    </w:p>
    <w:p w:rsidR="00847474" w:rsidRPr="00AD74C7" w:rsidRDefault="00847474" w:rsidP="00AD74C7">
      <w:pPr>
        <w:spacing w:line="240" w:lineRule="auto"/>
        <w:rPr>
          <w:szCs w:val="24"/>
          <w:lang w:eastAsia="en-GB"/>
        </w:rPr>
      </w:pPr>
      <w:r w:rsidRPr="00AD74C7">
        <w:rPr>
          <w:szCs w:val="24"/>
          <w:lang w:eastAsia="en-GB"/>
        </w:rPr>
        <w:t xml:space="preserve">Other weaknesses identified </w:t>
      </w:r>
      <w:r w:rsidR="00BD6003" w:rsidRPr="00AD74C7">
        <w:rPr>
          <w:szCs w:val="24"/>
          <w:lang w:eastAsia="en-GB"/>
        </w:rPr>
        <w:t xml:space="preserve">by Ofsted </w:t>
      </w:r>
      <w:r w:rsidR="00AD74C7">
        <w:rPr>
          <w:szCs w:val="24"/>
          <w:lang w:eastAsia="en-GB"/>
        </w:rPr>
        <w:t xml:space="preserve">in 2010 </w:t>
      </w:r>
      <w:r w:rsidRPr="00AD74C7">
        <w:rPr>
          <w:szCs w:val="24"/>
          <w:lang w:eastAsia="en-GB"/>
        </w:rPr>
        <w:t>across the whole age group of those with special educational needs or disabilities included some familiar themes:</w:t>
      </w:r>
    </w:p>
    <w:p w:rsidR="00847474" w:rsidRPr="00AD74C7" w:rsidRDefault="00847474" w:rsidP="00AD74C7">
      <w:pPr>
        <w:pStyle w:val="Bulletsspaced"/>
        <w:numPr>
          <w:ilvl w:val="0"/>
          <w:numId w:val="7"/>
        </w:numPr>
        <w:ind w:firstLine="0"/>
        <w:rPr>
          <w:rFonts w:ascii="Trebuchet MS" w:hAnsi="Trebuchet MS"/>
          <w:b/>
          <w:i/>
        </w:rPr>
      </w:pPr>
      <w:r w:rsidRPr="00AD74C7">
        <w:rPr>
          <w:rFonts w:ascii="Trebuchet MS" w:hAnsi="Trebuchet MS"/>
          <w:b/>
          <w:i/>
        </w:rPr>
        <w:t xml:space="preserve">teachers did not spend enough time finding out what children and young people already knew or had understood </w:t>
      </w:r>
    </w:p>
    <w:p w:rsidR="00847474" w:rsidRPr="00AD74C7" w:rsidRDefault="00847474" w:rsidP="00AD74C7">
      <w:pPr>
        <w:pStyle w:val="Bulletsspaced"/>
        <w:numPr>
          <w:ilvl w:val="0"/>
          <w:numId w:val="7"/>
        </w:numPr>
        <w:ind w:firstLine="0"/>
        <w:rPr>
          <w:rFonts w:ascii="Trebuchet MS" w:hAnsi="Trebuchet MS"/>
          <w:b/>
          <w:i/>
        </w:rPr>
      </w:pPr>
      <w:r w:rsidRPr="00AD74C7">
        <w:rPr>
          <w:rFonts w:ascii="Trebuchet MS" w:hAnsi="Trebuchet MS"/>
          <w:b/>
          <w:i/>
        </w:rPr>
        <w:t>teachers were not clear about what they expected children and young people to learn as opposed to what they expected them to do</w:t>
      </w:r>
    </w:p>
    <w:p w:rsidR="00847474" w:rsidRPr="00AD74C7" w:rsidRDefault="00847474" w:rsidP="00AD74C7">
      <w:pPr>
        <w:pStyle w:val="Bulletsspaced"/>
        <w:numPr>
          <w:ilvl w:val="0"/>
          <w:numId w:val="7"/>
        </w:numPr>
        <w:ind w:firstLine="0"/>
        <w:rPr>
          <w:rFonts w:ascii="Trebuchet MS" w:hAnsi="Trebuchet MS"/>
          <w:i/>
        </w:rPr>
      </w:pPr>
      <w:r w:rsidRPr="00AD74C7">
        <w:rPr>
          <w:rFonts w:ascii="Trebuchet MS" w:hAnsi="Trebuchet MS"/>
          <w:i/>
        </w:rPr>
        <w:lastRenderedPageBreak/>
        <w:t xml:space="preserve">the roles of additional staff were not planned well or additional staff were not trained well and the support provided was not monitored sufficiently </w:t>
      </w:r>
    </w:p>
    <w:p w:rsidR="00847474" w:rsidRPr="00AD74C7" w:rsidRDefault="00847474" w:rsidP="00AD74C7">
      <w:pPr>
        <w:pStyle w:val="Bulletsspaced"/>
        <w:numPr>
          <w:ilvl w:val="0"/>
          <w:numId w:val="7"/>
        </w:numPr>
        <w:ind w:firstLine="0"/>
        <w:rPr>
          <w:rFonts w:ascii="Trebuchet MS" w:hAnsi="Trebuchet MS"/>
          <w:i/>
        </w:rPr>
      </w:pPr>
      <w:r w:rsidRPr="00AD74C7">
        <w:rPr>
          <w:rFonts w:ascii="Trebuchet MS" w:hAnsi="Trebuchet MS"/>
          <w:b/>
          <w:i/>
        </w:rPr>
        <w:t>expectations</w:t>
      </w:r>
      <w:r w:rsidRPr="00AD74C7">
        <w:rPr>
          <w:rFonts w:ascii="Trebuchet MS" w:hAnsi="Trebuchet MS"/>
          <w:i/>
        </w:rPr>
        <w:t xml:space="preserve"> of disabled children and young people and those who had special educational needs </w:t>
      </w:r>
      <w:r w:rsidRPr="00AD74C7">
        <w:rPr>
          <w:rFonts w:ascii="Trebuchet MS" w:hAnsi="Trebuchet MS"/>
          <w:b/>
          <w:i/>
        </w:rPr>
        <w:t>were low</w:t>
      </w:r>
    </w:p>
    <w:p w:rsidR="00847474" w:rsidRPr="00AD74C7" w:rsidRDefault="00847474" w:rsidP="00AD74C7">
      <w:pPr>
        <w:pStyle w:val="Bulletsspaced"/>
        <w:numPr>
          <w:ilvl w:val="0"/>
          <w:numId w:val="7"/>
        </w:numPr>
        <w:ind w:firstLine="0"/>
        <w:rPr>
          <w:rFonts w:ascii="Trebuchet MS" w:hAnsi="Trebuchet MS"/>
          <w:b/>
          <w:i/>
        </w:rPr>
      </w:pPr>
      <w:r w:rsidRPr="00AD74C7">
        <w:rPr>
          <w:rFonts w:ascii="Trebuchet MS" w:hAnsi="Trebuchet MS"/>
          <w:b/>
          <w:i/>
        </w:rPr>
        <w:t>communication was poor: teachers spent too much time talking, explanations were confusing, feedback was inconsistent</w:t>
      </w:r>
    </w:p>
    <w:p w:rsidR="00847474" w:rsidRPr="00AD74C7" w:rsidRDefault="00847474" w:rsidP="00AD74C7">
      <w:pPr>
        <w:pStyle w:val="Bulletsspaced"/>
        <w:numPr>
          <w:ilvl w:val="0"/>
          <w:numId w:val="7"/>
        </w:numPr>
        <w:ind w:firstLine="0"/>
        <w:rPr>
          <w:rFonts w:ascii="Trebuchet MS" w:hAnsi="Trebuchet MS"/>
          <w:i/>
        </w:rPr>
      </w:pPr>
      <w:r w:rsidRPr="00AD74C7">
        <w:rPr>
          <w:rFonts w:ascii="Trebuchet MS" w:hAnsi="Trebuchet MS"/>
          <w:i/>
        </w:rPr>
        <w:t>language was too complex for all children and young people to understand</w:t>
      </w:r>
    </w:p>
    <w:p w:rsidR="00847474" w:rsidRPr="00AD74C7" w:rsidRDefault="00847474" w:rsidP="00AD74C7">
      <w:pPr>
        <w:pStyle w:val="Bulletsspaced"/>
        <w:numPr>
          <w:ilvl w:val="0"/>
          <w:numId w:val="7"/>
        </w:numPr>
        <w:ind w:firstLine="0"/>
        <w:rPr>
          <w:rFonts w:ascii="Trebuchet MS" w:hAnsi="Trebuchet MS"/>
          <w:i/>
        </w:rPr>
      </w:pPr>
      <w:r w:rsidRPr="00AD74C7">
        <w:rPr>
          <w:rFonts w:ascii="Trebuchet MS" w:hAnsi="Trebuchet MS"/>
          <w:i/>
        </w:rPr>
        <w:t xml:space="preserve">the tone, and even body language, used by adults was confusing for some of the children and young people who found social subtleties and nuances difficult to understand </w:t>
      </w:r>
    </w:p>
    <w:p w:rsidR="00847474" w:rsidRPr="00AD74C7" w:rsidRDefault="00847474" w:rsidP="00AD74C7">
      <w:pPr>
        <w:pStyle w:val="Bulletsspaced"/>
        <w:numPr>
          <w:ilvl w:val="0"/>
          <w:numId w:val="7"/>
        </w:numPr>
        <w:ind w:firstLine="0"/>
        <w:rPr>
          <w:rFonts w:ascii="Trebuchet MS" w:hAnsi="Trebuchet MS"/>
          <w:i/>
        </w:rPr>
      </w:pPr>
      <w:r w:rsidRPr="00AD74C7">
        <w:rPr>
          <w:rFonts w:ascii="Trebuchet MS" w:hAnsi="Trebuchet MS"/>
          <w:i/>
        </w:rPr>
        <w:t>activities and additional interventions were inappropriate and were not evaluated in terms of their effect on children and young people’s learning</w:t>
      </w:r>
    </w:p>
    <w:p w:rsidR="00847474" w:rsidRPr="00AD74C7" w:rsidRDefault="00847474" w:rsidP="00AD74C7">
      <w:pPr>
        <w:pStyle w:val="Bulletsspaced"/>
        <w:numPr>
          <w:ilvl w:val="0"/>
          <w:numId w:val="7"/>
        </w:numPr>
        <w:ind w:firstLine="0"/>
        <w:rPr>
          <w:rFonts w:ascii="Trebuchet MS" w:hAnsi="Trebuchet MS"/>
          <w:i/>
        </w:rPr>
      </w:pPr>
      <w:r w:rsidRPr="00AD74C7">
        <w:rPr>
          <w:rFonts w:ascii="Trebuchet MS" w:hAnsi="Trebuchet MS"/>
          <w:i/>
        </w:rPr>
        <w:t>resources were poor, with too little thought having been given to their selection and use</w:t>
      </w:r>
    </w:p>
    <w:p w:rsidR="00847474" w:rsidRPr="00AD74C7" w:rsidRDefault="00847474" w:rsidP="00AD74C7">
      <w:pPr>
        <w:pStyle w:val="Bulletsspaced-lastbullet"/>
        <w:numPr>
          <w:ilvl w:val="0"/>
          <w:numId w:val="7"/>
        </w:numPr>
        <w:ind w:firstLine="0"/>
        <w:rPr>
          <w:rFonts w:ascii="Trebuchet MS" w:hAnsi="Trebuchet MS"/>
        </w:rPr>
      </w:pPr>
      <w:proofErr w:type="gramStart"/>
      <w:r w:rsidRPr="00AD74C7">
        <w:rPr>
          <w:rFonts w:ascii="Trebuchet MS" w:hAnsi="Trebuchet MS"/>
          <w:b/>
          <w:i/>
        </w:rPr>
        <w:t>children</w:t>
      </w:r>
      <w:proofErr w:type="gramEnd"/>
      <w:r w:rsidRPr="00AD74C7">
        <w:rPr>
          <w:rFonts w:ascii="Trebuchet MS" w:hAnsi="Trebuchet MS"/>
          <w:b/>
          <w:i/>
        </w:rPr>
        <w:t xml:space="preserve"> and young people had little engagement in what they were learning</w:t>
      </w:r>
      <w:r w:rsidRPr="00AD74C7">
        <w:rPr>
          <w:rFonts w:ascii="Trebuchet MS" w:hAnsi="Trebuchet MS"/>
          <w:i/>
        </w:rPr>
        <w:t>, usually as a result of the above features.</w:t>
      </w:r>
      <w:r w:rsidRPr="00AD74C7">
        <w:rPr>
          <w:rFonts w:ascii="Trebuchet MS" w:hAnsi="Trebuchet MS"/>
        </w:rPr>
        <w:t xml:space="preserve"> (Ofsted, 2010:48)</w:t>
      </w:r>
    </w:p>
    <w:p w:rsidR="00BF5566" w:rsidRPr="00AD74C7" w:rsidRDefault="00BF5566" w:rsidP="00AD74C7">
      <w:pPr>
        <w:pStyle w:val="Bulletsspaced"/>
        <w:numPr>
          <w:ilvl w:val="0"/>
          <w:numId w:val="0"/>
        </w:numPr>
        <w:rPr>
          <w:rFonts w:ascii="Trebuchet MS" w:hAnsi="Trebuchet MS"/>
          <w:lang w:eastAsia="en-GB"/>
        </w:rPr>
      </w:pPr>
      <w:r w:rsidRPr="00AD74C7">
        <w:rPr>
          <w:rFonts w:ascii="Trebuchet MS" w:hAnsi="Trebuchet MS"/>
          <w:lang w:eastAsia="en-GB"/>
        </w:rPr>
        <w:t xml:space="preserve">The survey also noted that in the provision visited (which was a substantial 150 providers and 22 local authorities) some 14 per cent of </w:t>
      </w:r>
      <w:r w:rsidR="00F75B0B" w:rsidRPr="00AD74C7">
        <w:rPr>
          <w:rFonts w:ascii="Trebuchet MS" w:hAnsi="Trebuchet MS"/>
          <w:lang w:eastAsia="en-GB"/>
        </w:rPr>
        <w:t xml:space="preserve">the </w:t>
      </w:r>
      <w:r w:rsidRPr="00AD74C7">
        <w:rPr>
          <w:rFonts w:ascii="Trebuchet MS" w:hAnsi="Trebuchet MS"/>
          <w:lang w:eastAsia="en-GB"/>
        </w:rPr>
        <w:t>achievement</w:t>
      </w:r>
      <w:r w:rsidR="00F75B0B" w:rsidRPr="00AD74C7">
        <w:rPr>
          <w:rFonts w:ascii="Trebuchet MS" w:hAnsi="Trebuchet MS"/>
          <w:lang w:eastAsia="en-GB"/>
        </w:rPr>
        <w:t>s</w:t>
      </w:r>
      <w:r w:rsidRPr="00AD74C7">
        <w:rPr>
          <w:rFonts w:ascii="Trebuchet MS" w:hAnsi="Trebuchet MS"/>
          <w:lang w:eastAsia="en-GB"/>
        </w:rPr>
        <w:t xml:space="preserve"> by learners </w:t>
      </w:r>
      <w:proofErr w:type="gramStart"/>
      <w:r w:rsidRPr="00AD74C7">
        <w:rPr>
          <w:rFonts w:ascii="Trebuchet MS" w:hAnsi="Trebuchet MS"/>
          <w:lang w:eastAsia="en-GB"/>
        </w:rPr>
        <w:t>was</w:t>
      </w:r>
      <w:proofErr w:type="gramEnd"/>
      <w:r w:rsidRPr="00AD74C7">
        <w:rPr>
          <w:rFonts w:ascii="Trebuchet MS" w:hAnsi="Trebuchet MS"/>
          <w:lang w:eastAsia="en-GB"/>
        </w:rPr>
        <w:t xml:space="preserve"> inadequate, and 45 per cent </w:t>
      </w:r>
      <w:r w:rsidR="00A9300D" w:rsidRPr="00AD74C7">
        <w:rPr>
          <w:rFonts w:ascii="Trebuchet MS" w:hAnsi="Trebuchet MS"/>
          <w:lang w:eastAsia="en-GB"/>
        </w:rPr>
        <w:t>‘</w:t>
      </w:r>
      <w:r w:rsidRPr="00AD74C7">
        <w:rPr>
          <w:rFonts w:ascii="Trebuchet MS" w:hAnsi="Trebuchet MS"/>
          <w:lang w:eastAsia="en-GB"/>
        </w:rPr>
        <w:t>satisfactory</w:t>
      </w:r>
      <w:r w:rsidR="00A9300D" w:rsidRPr="00AD74C7">
        <w:rPr>
          <w:rFonts w:ascii="Trebuchet MS" w:hAnsi="Trebuchet MS"/>
          <w:lang w:eastAsia="en-GB"/>
        </w:rPr>
        <w:t>’</w:t>
      </w:r>
      <w:r w:rsidRPr="00AD74C7">
        <w:rPr>
          <w:rFonts w:ascii="Trebuchet MS" w:hAnsi="Trebuchet MS"/>
          <w:lang w:eastAsia="en-GB"/>
        </w:rPr>
        <w:t>.  The warning from Ofsted’s study is that children and young people who are failed also have a poorer chance of succeeding later</w:t>
      </w:r>
      <w:r w:rsidR="00226CAB" w:rsidRPr="00AD74C7">
        <w:rPr>
          <w:rFonts w:ascii="Trebuchet MS" w:hAnsi="Trebuchet MS"/>
          <w:lang w:eastAsia="en-GB"/>
        </w:rPr>
        <w:t>.  They are,</w:t>
      </w:r>
    </w:p>
    <w:p w:rsidR="00BF5566" w:rsidRPr="00AD74C7" w:rsidRDefault="00512C40" w:rsidP="00AD74C7">
      <w:pPr>
        <w:pStyle w:val="Bulletsspaced"/>
        <w:numPr>
          <w:ilvl w:val="0"/>
          <w:numId w:val="0"/>
        </w:numPr>
        <w:ind w:left="927"/>
        <w:rPr>
          <w:rFonts w:ascii="Trebuchet MS" w:hAnsi="Trebuchet MS"/>
        </w:rPr>
      </w:pPr>
      <w:r w:rsidRPr="00AD74C7">
        <w:rPr>
          <w:rFonts w:ascii="Trebuchet MS" w:hAnsi="Trebuchet MS"/>
          <w:i/>
          <w:color w:val="auto"/>
        </w:rPr>
        <w:t>‘</w:t>
      </w:r>
      <w:r w:rsidR="00226CAB" w:rsidRPr="00AD74C7">
        <w:rPr>
          <w:rFonts w:ascii="Trebuchet MS" w:hAnsi="Trebuchet MS"/>
          <w:i/>
          <w:color w:val="auto"/>
        </w:rPr>
        <w:t>...</w:t>
      </w:r>
      <w:r w:rsidR="00BF5566" w:rsidRPr="00AD74C7">
        <w:rPr>
          <w:rFonts w:ascii="Trebuchet MS" w:hAnsi="Trebuchet MS"/>
          <w:i/>
        </w:rPr>
        <w:t>disproportionately from disadvantaged backgrounds, are much more likely to be absent or excluded from school, and achieve less well than their peers, both in terms of their attainment</w:t>
      </w:r>
      <w:r w:rsidR="00226CAB" w:rsidRPr="00AD74C7">
        <w:rPr>
          <w:rFonts w:ascii="Trebuchet MS" w:hAnsi="Trebuchet MS"/>
          <w:i/>
        </w:rPr>
        <w:t>...</w:t>
      </w:r>
      <w:r w:rsidR="00BF5566" w:rsidRPr="00AD74C7">
        <w:rPr>
          <w:rFonts w:ascii="Trebuchet MS" w:hAnsi="Trebuchet MS"/>
          <w:i/>
        </w:rPr>
        <w:t>and</w:t>
      </w:r>
      <w:r w:rsidR="00226CAB" w:rsidRPr="00AD74C7">
        <w:rPr>
          <w:rFonts w:ascii="Trebuchet MS" w:hAnsi="Trebuchet MS"/>
          <w:i/>
        </w:rPr>
        <w:t>...</w:t>
      </w:r>
      <w:proofErr w:type="gramStart"/>
      <w:r w:rsidR="00BF5566" w:rsidRPr="00AD74C7">
        <w:rPr>
          <w:rFonts w:ascii="Trebuchet MS" w:hAnsi="Trebuchet MS"/>
          <w:i/>
        </w:rPr>
        <w:t>their</w:t>
      </w:r>
      <w:proofErr w:type="gramEnd"/>
      <w:r w:rsidR="00BF5566" w:rsidRPr="00AD74C7">
        <w:rPr>
          <w:rFonts w:ascii="Trebuchet MS" w:hAnsi="Trebuchet MS"/>
          <w:i/>
        </w:rPr>
        <w:t xml:space="preserve"> progress over time. Over the last five years, these outcomes have changed very little. </w:t>
      </w:r>
      <w:r w:rsidR="00BF5566" w:rsidRPr="00AD74C7">
        <w:rPr>
          <w:rFonts w:ascii="Trebuchet MS" w:hAnsi="Trebuchet MS"/>
          <w:b/>
          <w:i/>
        </w:rPr>
        <w:t>Past the age of 16, young people with learning difficulties or disabilities comprise one of the groups most likely not to be in education, employment or training.</w:t>
      </w:r>
      <w:r w:rsidRPr="00AD74C7">
        <w:rPr>
          <w:rFonts w:ascii="Trebuchet MS" w:hAnsi="Trebuchet MS"/>
          <w:b/>
          <w:i/>
        </w:rPr>
        <w:t>’</w:t>
      </w:r>
      <w:r w:rsidR="0006663A" w:rsidRPr="00AD74C7">
        <w:rPr>
          <w:rFonts w:ascii="Trebuchet MS" w:hAnsi="Trebuchet MS"/>
        </w:rPr>
        <w:t xml:space="preserve"> </w:t>
      </w:r>
      <w:r w:rsidR="00226CAB" w:rsidRPr="00AD74C7">
        <w:rPr>
          <w:rFonts w:ascii="Trebuchet MS" w:hAnsi="Trebuchet MS"/>
        </w:rPr>
        <w:tab/>
      </w:r>
      <w:r w:rsidR="00BF5566" w:rsidRPr="00AD74C7">
        <w:rPr>
          <w:rFonts w:ascii="Trebuchet MS" w:hAnsi="Trebuchet MS"/>
        </w:rPr>
        <w:t>(Ofsted, 2010:5)</w:t>
      </w:r>
    </w:p>
    <w:p w:rsidR="00BF5566" w:rsidRPr="00AD74C7" w:rsidRDefault="00BF5566" w:rsidP="00AD74C7">
      <w:pPr>
        <w:pStyle w:val="Bulletsspaced"/>
        <w:numPr>
          <w:ilvl w:val="0"/>
          <w:numId w:val="0"/>
        </w:numPr>
        <w:ind w:left="927"/>
        <w:rPr>
          <w:rFonts w:ascii="Trebuchet MS" w:hAnsi="Trebuchet MS"/>
        </w:rPr>
      </w:pPr>
    </w:p>
    <w:p w:rsidR="006F4367" w:rsidRPr="00AD74C7" w:rsidRDefault="00847474" w:rsidP="00AD74C7">
      <w:pPr>
        <w:spacing w:line="240" w:lineRule="auto"/>
        <w:rPr>
          <w:szCs w:val="24"/>
          <w:lang w:eastAsia="en-GB"/>
        </w:rPr>
      </w:pPr>
      <w:r w:rsidRPr="00AD74C7">
        <w:rPr>
          <w:szCs w:val="24"/>
          <w:lang w:eastAsia="en-GB"/>
        </w:rPr>
        <w:t xml:space="preserve">Of course, I recognise that </w:t>
      </w:r>
      <w:r w:rsidR="00BD6003" w:rsidRPr="00AD74C7">
        <w:rPr>
          <w:szCs w:val="24"/>
          <w:lang w:eastAsia="en-GB"/>
        </w:rPr>
        <w:t>Ofsted’s</w:t>
      </w:r>
      <w:r w:rsidRPr="00AD74C7">
        <w:rPr>
          <w:szCs w:val="24"/>
          <w:lang w:eastAsia="en-GB"/>
        </w:rPr>
        <w:t xml:space="preserve"> is a composite report: it </w:t>
      </w:r>
      <w:r w:rsidR="00D9211C" w:rsidRPr="00AD74C7">
        <w:rPr>
          <w:szCs w:val="24"/>
          <w:lang w:eastAsia="en-GB"/>
        </w:rPr>
        <w:t>covers</w:t>
      </w:r>
      <w:r w:rsidRPr="00AD74C7">
        <w:rPr>
          <w:szCs w:val="24"/>
          <w:lang w:eastAsia="en-GB"/>
        </w:rPr>
        <w:t xml:space="preserve"> ages 0-19, </w:t>
      </w:r>
      <w:r w:rsidR="00E37F3F" w:rsidRPr="00AD74C7">
        <w:rPr>
          <w:szCs w:val="24"/>
          <w:lang w:eastAsia="en-GB"/>
        </w:rPr>
        <w:t xml:space="preserve">applying to a minority of </w:t>
      </w:r>
      <w:r w:rsidRPr="00AD74C7">
        <w:rPr>
          <w:szCs w:val="24"/>
          <w:lang w:eastAsia="en-GB"/>
        </w:rPr>
        <w:t>over 150 providers.  Nevertheless, take out the phrase ‘</w:t>
      </w:r>
      <w:r w:rsidRPr="00AD74C7">
        <w:rPr>
          <w:i/>
          <w:szCs w:val="24"/>
          <w:lang w:eastAsia="en-GB"/>
        </w:rPr>
        <w:t>children and young people’</w:t>
      </w:r>
      <w:r w:rsidRPr="00AD74C7">
        <w:rPr>
          <w:szCs w:val="24"/>
          <w:lang w:eastAsia="en-GB"/>
        </w:rPr>
        <w:t xml:space="preserve"> and it could have come from the pages of Tomlinson (1996)</w:t>
      </w:r>
      <w:r w:rsidR="00BF5566" w:rsidRPr="00AD74C7">
        <w:rPr>
          <w:szCs w:val="24"/>
          <w:lang w:eastAsia="en-GB"/>
        </w:rPr>
        <w:t xml:space="preserve">.  </w:t>
      </w:r>
      <w:r w:rsidR="006F4367" w:rsidRPr="00AD74C7">
        <w:rPr>
          <w:szCs w:val="24"/>
          <w:lang w:eastAsia="en-GB"/>
        </w:rPr>
        <w:t xml:space="preserve">The latter </w:t>
      </w:r>
      <w:r w:rsidR="005C7A7C" w:rsidRPr="00AD74C7">
        <w:rPr>
          <w:szCs w:val="24"/>
          <w:lang w:eastAsia="en-GB"/>
        </w:rPr>
        <w:t>report</w:t>
      </w:r>
      <w:r w:rsidR="006F4367" w:rsidRPr="00AD74C7">
        <w:rPr>
          <w:szCs w:val="24"/>
          <w:lang w:eastAsia="en-GB"/>
        </w:rPr>
        <w:t xml:space="preserve"> </w:t>
      </w:r>
      <w:r w:rsidR="005C7A7C" w:rsidRPr="00AD74C7">
        <w:rPr>
          <w:szCs w:val="24"/>
          <w:lang w:eastAsia="en-GB"/>
        </w:rPr>
        <w:t xml:space="preserve">is </w:t>
      </w:r>
      <w:r w:rsidR="006F4367" w:rsidRPr="00AD74C7">
        <w:rPr>
          <w:szCs w:val="24"/>
          <w:lang w:eastAsia="en-GB"/>
        </w:rPr>
        <w:t xml:space="preserve">referred to by Ofsted who </w:t>
      </w:r>
      <w:r w:rsidR="000C70B5" w:rsidRPr="00AD74C7">
        <w:rPr>
          <w:szCs w:val="24"/>
          <w:lang w:eastAsia="en-GB"/>
        </w:rPr>
        <w:t>refer to</w:t>
      </w:r>
      <w:r w:rsidR="006F4367" w:rsidRPr="00AD74C7">
        <w:rPr>
          <w:szCs w:val="24"/>
          <w:lang w:eastAsia="en-GB"/>
        </w:rPr>
        <w:t xml:space="preserve"> the ‘cornerstone’ of learning support funding mad</w:t>
      </w:r>
      <w:r w:rsidR="005F04E5" w:rsidRPr="00AD74C7">
        <w:rPr>
          <w:szCs w:val="24"/>
          <w:lang w:eastAsia="en-GB"/>
        </w:rPr>
        <w:t xml:space="preserve">e available as a result of the </w:t>
      </w:r>
      <w:r w:rsidR="006F4367" w:rsidRPr="00AD74C7">
        <w:rPr>
          <w:szCs w:val="24"/>
          <w:lang w:eastAsia="en-GB"/>
        </w:rPr>
        <w:t>Tomlinson report</w:t>
      </w:r>
      <w:r w:rsidR="005F04E5" w:rsidRPr="00AD74C7">
        <w:rPr>
          <w:szCs w:val="24"/>
          <w:lang w:eastAsia="en-GB"/>
        </w:rPr>
        <w:t xml:space="preserve"> </w:t>
      </w:r>
      <w:r w:rsidR="006F4367" w:rsidRPr="00AD74C7">
        <w:rPr>
          <w:szCs w:val="24"/>
          <w:lang w:eastAsia="en-GB"/>
        </w:rPr>
        <w:t>(Tomlinson, 1996:</w:t>
      </w:r>
      <w:r w:rsidR="005F04E5" w:rsidRPr="00AD74C7">
        <w:rPr>
          <w:szCs w:val="24"/>
          <w:lang w:eastAsia="en-GB"/>
        </w:rPr>
        <w:t>85).</w:t>
      </w:r>
    </w:p>
    <w:p w:rsidR="00BF5566" w:rsidRPr="00AD74C7" w:rsidRDefault="00BF5566" w:rsidP="00AD74C7">
      <w:pPr>
        <w:spacing w:line="240" w:lineRule="auto"/>
        <w:rPr>
          <w:szCs w:val="24"/>
          <w:lang w:eastAsia="en-GB"/>
        </w:rPr>
      </w:pPr>
      <w:r w:rsidRPr="00AD74C7">
        <w:rPr>
          <w:szCs w:val="24"/>
          <w:lang w:eastAsia="en-GB"/>
        </w:rPr>
        <w:t xml:space="preserve">More </w:t>
      </w:r>
      <w:r w:rsidR="000C70B5" w:rsidRPr="00AD74C7">
        <w:rPr>
          <w:szCs w:val="24"/>
          <w:lang w:eastAsia="en-GB"/>
        </w:rPr>
        <w:t>startling</w:t>
      </w:r>
      <w:r w:rsidRPr="00AD74C7">
        <w:rPr>
          <w:szCs w:val="24"/>
          <w:lang w:eastAsia="en-GB"/>
        </w:rPr>
        <w:t xml:space="preserve">, for those familiar with the Tomlinson report, is the comment </w:t>
      </w:r>
      <w:r w:rsidR="00BD6003" w:rsidRPr="00AD74C7">
        <w:rPr>
          <w:szCs w:val="24"/>
          <w:lang w:eastAsia="en-GB"/>
        </w:rPr>
        <w:t>by</w:t>
      </w:r>
      <w:r w:rsidRPr="00AD74C7">
        <w:rPr>
          <w:szCs w:val="24"/>
          <w:lang w:eastAsia="en-GB"/>
        </w:rPr>
        <w:t xml:space="preserve"> Ofsted which echoed the evidence received </w:t>
      </w:r>
      <w:r w:rsidR="005F04E5" w:rsidRPr="00AD74C7">
        <w:rPr>
          <w:szCs w:val="24"/>
          <w:lang w:eastAsia="en-GB"/>
        </w:rPr>
        <w:t>fourteen years earlier</w:t>
      </w:r>
      <w:r w:rsidRPr="00AD74C7">
        <w:rPr>
          <w:szCs w:val="24"/>
          <w:lang w:eastAsia="en-GB"/>
        </w:rPr>
        <w:t>,</w:t>
      </w:r>
      <w:r w:rsidR="00226CAB" w:rsidRPr="00AD74C7">
        <w:rPr>
          <w:szCs w:val="24"/>
          <w:lang w:eastAsia="en-GB"/>
        </w:rPr>
        <w:t xml:space="preserve"> that parents, carers and young people had little understanding of possibilities open to them beyond the age of 18, because accessible information was not available: </w:t>
      </w:r>
    </w:p>
    <w:p w:rsidR="005F04E5" w:rsidRPr="00AD74C7" w:rsidRDefault="00512C40" w:rsidP="00AD74C7">
      <w:pPr>
        <w:spacing w:line="240" w:lineRule="auto"/>
        <w:ind w:left="720"/>
        <w:rPr>
          <w:szCs w:val="24"/>
        </w:rPr>
      </w:pPr>
      <w:r w:rsidRPr="00AD74C7">
        <w:rPr>
          <w:b/>
          <w:i/>
          <w:szCs w:val="24"/>
        </w:rPr>
        <w:lastRenderedPageBreak/>
        <w:t>‘</w:t>
      </w:r>
      <w:r w:rsidR="00BF5566" w:rsidRPr="00AD74C7">
        <w:rPr>
          <w:b/>
          <w:i/>
          <w:szCs w:val="24"/>
        </w:rPr>
        <w:t>This caused high levels of anxiety, particularly when parents, carers and the young people did not understand the differences in funding arrangements or why particular support stopped or changed</w:t>
      </w:r>
      <w:r w:rsidRPr="00AD74C7">
        <w:rPr>
          <w:b/>
          <w:i/>
          <w:szCs w:val="24"/>
        </w:rPr>
        <w:t>’</w:t>
      </w:r>
      <w:r w:rsidR="00BF5566" w:rsidRPr="00AD74C7">
        <w:rPr>
          <w:b/>
          <w:i/>
          <w:szCs w:val="24"/>
        </w:rPr>
        <w:t>.</w:t>
      </w:r>
      <w:r w:rsidR="00BF5566" w:rsidRPr="00AD74C7">
        <w:rPr>
          <w:b/>
          <w:szCs w:val="24"/>
        </w:rPr>
        <w:t xml:space="preserve"> </w:t>
      </w:r>
      <w:r w:rsidR="009F727F" w:rsidRPr="00AD74C7">
        <w:rPr>
          <w:b/>
          <w:szCs w:val="24"/>
        </w:rPr>
        <w:tab/>
      </w:r>
      <w:r w:rsidR="00BF5566" w:rsidRPr="00AD74C7">
        <w:rPr>
          <w:szCs w:val="24"/>
        </w:rPr>
        <w:t>(Ofsted, 2010:45)</w:t>
      </w:r>
    </w:p>
    <w:p w:rsidR="00BD6003" w:rsidRPr="00AD74C7" w:rsidRDefault="00BD6003" w:rsidP="00AD74C7">
      <w:pPr>
        <w:spacing w:line="240" w:lineRule="auto"/>
        <w:rPr>
          <w:szCs w:val="24"/>
          <w:lang w:eastAsia="en-GB"/>
        </w:rPr>
      </w:pPr>
      <w:r w:rsidRPr="00AD74C7">
        <w:rPr>
          <w:szCs w:val="24"/>
          <w:lang w:eastAsia="en-GB"/>
        </w:rPr>
        <w:t>Th</w:t>
      </w:r>
      <w:r w:rsidR="00110D63" w:rsidRPr="00AD74C7">
        <w:rPr>
          <w:szCs w:val="24"/>
          <w:lang w:eastAsia="en-GB"/>
        </w:rPr>
        <w:t>is</w:t>
      </w:r>
      <w:r w:rsidRPr="00AD74C7">
        <w:rPr>
          <w:szCs w:val="24"/>
          <w:lang w:eastAsia="en-GB"/>
        </w:rPr>
        <w:t xml:space="preserve"> high level of anxiety created by the complexity of funding and entitlements has always been there.</w:t>
      </w:r>
    </w:p>
    <w:p w:rsidR="00360B33" w:rsidRPr="00AD74C7" w:rsidRDefault="00BF5566" w:rsidP="00AD74C7">
      <w:pPr>
        <w:spacing w:line="240" w:lineRule="auto"/>
        <w:rPr>
          <w:szCs w:val="24"/>
        </w:rPr>
      </w:pPr>
      <w:r w:rsidRPr="00AD74C7">
        <w:rPr>
          <w:szCs w:val="24"/>
          <w:lang w:eastAsia="en-GB"/>
        </w:rPr>
        <w:t xml:space="preserve">So have we made so little progress in the quality of provision?  I turn now to a </w:t>
      </w:r>
      <w:r w:rsidR="009F727F" w:rsidRPr="00AD74C7">
        <w:rPr>
          <w:szCs w:val="24"/>
          <w:lang w:eastAsia="en-GB"/>
        </w:rPr>
        <w:t>2011</w:t>
      </w:r>
      <w:r w:rsidR="00E15FC0" w:rsidRPr="00AD74C7">
        <w:rPr>
          <w:szCs w:val="24"/>
          <w:lang w:eastAsia="en-GB"/>
        </w:rPr>
        <w:t xml:space="preserve"> Ofsted</w:t>
      </w:r>
      <w:r w:rsidRPr="00AD74C7">
        <w:rPr>
          <w:szCs w:val="24"/>
          <w:lang w:eastAsia="en-GB"/>
        </w:rPr>
        <w:t xml:space="preserve"> report which set out to study th</w:t>
      </w:r>
      <w:r w:rsidR="00E37F3F" w:rsidRPr="00AD74C7">
        <w:rPr>
          <w:szCs w:val="24"/>
          <w:lang w:eastAsia="en-GB"/>
        </w:rPr>
        <w:t>is</w:t>
      </w:r>
      <w:r w:rsidRPr="00AD74C7">
        <w:rPr>
          <w:szCs w:val="24"/>
          <w:lang w:eastAsia="en-GB"/>
        </w:rPr>
        <w:t xml:space="preserve"> transitional phase.</w:t>
      </w:r>
      <w:r w:rsidR="005F04E5" w:rsidRPr="00AD74C7">
        <w:rPr>
          <w:szCs w:val="24"/>
          <w:lang w:eastAsia="en-GB"/>
        </w:rPr>
        <w:t xml:space="preserve">  </w:t>
      </w:r>
      <w:r w:rsidR="008B68FC" w:rsidRPr="00AD74C7">
        <w:rPr>
          <w:i/>
          <w:szCs w:val="24"/>
        </w:rPr>
        <w:t>Progression post-16 for learners with learning difficulties and/or disabilities</w:t>
      </w:r>
      <w:r w:rsidR="008B68FC" w:rsidRPr="00AD74C7">
        <w:rPr>
          <w:szCs w:val="24"/>
        </w:rPr>
        <w:t xml:space="preserve"> (Ofsted, 2011)</w:t>
      </w:r>
      <w:r w:rsidR="008B68FC" w:rsidRPr="00AD74C7">
        <w:rPr>
          <w:rStyle w:val="FootnoteReference"/>
          <w:szCs w:val="24"/>
        </w:rPr>
        <w:footnoteReference w:id="5"/>
      </w:r>
      <w:r w:rsidR="008B68FC" w:rsidRPr="00AD74C7">
        <w:rPr>
          <w:szCs w:val="24"/>
        </w:rPr>
        <w:t xml:space="preserve"> acknowledged that the quality of learning beyond the age of 19 </w:t>
      </w:r>
      <w:r w:rsidR="008E439B" w:rsidRPr="00AD74C7">
        <w:rPr>
          <w:szCs w:val="24"/>
        </w:rPr>
        <w:t xml:space="preserve">(albeit only up to age 25) </w:t>
      </w:r>
      <w:r w:rsidR="008B68FC" w:rsidRPr="00AD74C7">
        <w:rPr>
          <w:szCs w:val="24"/>
        </w:rPr>
        <w:t xml:space="preserve">was as much a concern as </w:t>
      </w:r>
      <w:r w:rsidR="00FB77AB" w:rsidRPr="00AD74C7">
        <w:rPr>
          <w:szCs w:val="24"/>
        </w:rPr>
        <w:t>th</w:t>
      </w:r>
      <w:r w:rsidR="005F04E5" w:rsidRPr="00AD74C7">
        <w:rPr>
          <w:szCs w:val="24"/>
        </w:rPr>
        <w:t>at for tho</w:t>
      </w:r>
      <w:r w:rsidR="00FB77AB" w:rsidRPr="00AD74C7">
        <w:rPr>
          <w:szCs w:val="24"/>
        </w:rPr>
        <w:t xml:space="preserve">se </w:t>
      </w:r>
      <w:r w:rsidR="008B68FC" w:rsidRPr="00AD74C7">
        <w:rPr>
          <w:szCs w:val="24"/>
        </w:rPr>
        <w:t>under 19</w:t>
      </w:r>
      <w:r w:rsidR="008E439B" w:rsidRPr="00AD74C7">
        <w:rPr>
          <w:szCs w:val="24"/>
        </w:rPr>
        <w:t xml:space="preserve">.  </w:t>
      </w:r>
      <w:r w:rsidR="009F727F" w:rsidRPr="00AD74C7">
        <w:rPr>
          <w:szCs w:val="24"/>
          <w:lang w:eastAsia="en-GB"/>
        </w:rPr>
        <w:t>This survey</w:t>
      </w:r>
      <w:r w:rsidR="009F727F" w:rsidRPr="00AD74C7">
        <w:rPr>
          <w:szCs w:val="24"/>
        </w:rPr>
        <w:t xml:space="preserve"> (Ofsted 2011:4) </w:t>
      </w:r>
      <w:r w:rsidR="008E439B" w:rsidRPr="00AD74C7">
        <w:rPr>
          <w:szCs w:val="24"/>
          <w:lang w:eastAsia="en-GB"/>
        </w:rPr>
        <w:t xml:space="preserve">was much smaller, </w:t>
      </w:r>
      <w:r w:rsidR="008E439B" w:rsidRPr="00AD74C7">
        <w:rPr>
          <w:szCs w:val="24"/>
        </w:rPr>
        <w:t>covering 32 providers and conducting 111 case studies,</w:t>
      </w:r>
      <w:r w:rsidR="009F727F" w:rsidRPr="00AD74C7">
        <w:rPr>
          <w:szCs w:val="24"/>
        </w:rPr>
        <w:t xml:space="preserve"> although </w:t>
      </w:r>
      <w:r w:rsidR="00EA76CA" w:rsidRPr="00AD74C7">
        <w:rPr>
          <w:szCs w:val="24"/>
        </w:rPr>
        <w:t>j</w:t>
      </w:r>
      <w:r w:rsidR="008E439B" w:rsidRPr="00AD74C7">
        <w:rPr>
          <w:szCs w:val="24"/>
        </w:rPr>
        <w:t>udgements about the quality of provision</w:t>
      </w:r>
      <w:r w:rsidR="00EA76CA" w:rsidRPr="00AD74C7">
        <w:rPr>
          <w:szCs w:val="24"/>
        </w:rPr>
        <w:t xml:space="preserve"> are significantly similar to the earlier </w:t>
      </w:r>
      <w:r w:rsidR="009F727F" w:rsidRPr="00AD74C7">
        <w:rPr>
          <w:szCs w:val="24"/>
        </w:rPr>
        <w:t xml:space="preserve">Ofsted </w:t>
      </w:r>
      <w:r w:rsidR="00EA76CA" w:rsidRPr="00AD74C7">
        <w:rPr>
          <w:szCs w:val="24"/>
        </w:rPr>
        <w:t xml:space="preserve">report.  Learners on ‘mainstream’ provision receiving learning </w:t>
      </w:r>
      <w:proofErr w:type="gramStart"/>
      <w:r w:rsidR="00EA76CA" w:rsidRPr="00AD74C7">
        <w:rPr>
          <w:szCs w:val="24"/>
        </w:rPr>
        <w:t>support were</w:t>
      </w:r>
      <w:proofErr w:type="gramEnd"/>
      <w:r w:rsidR="00EA76CA" w:rsidRPr="00AD74C7">
        <w:rPr>
          <w:szCs w:val="24"/>
        </w:rPr>
        <w:t xml:space="preserve"> supported effectively, </w:t>
      </w:r>
      <w:r w:rsidR="009F727F" w:rsidRPr="00AD74C7">
        <w:rPr>
          <w:szCs w:val="24"/>
        </w:rPr>
        <w:t>and t</w:t>
      </w:r>
      <w:r w:rsidR="00360B33" w:rsidRPr="00AD74C7">
        <w:rPr>
          <w:szCs w:val="24"/>
        </w:rPr>
        <w:t xml:space="preserve">his included support provided to apprentices.  </w:t>
      </w:r>
      <w:r w:rsidR="00A9300D" w:rsidRPr="00AD74C7">
        <w:rPr>
          <w:szCs w:val="24"/>
        </w:rPr>
        <w:t>However, t</w:t>
      </w:r>
      <w:r w:rsidR="00EA76CA" w:rsidRPr="00AD74C7">
        <w:rPr>
          <w:szCs w:val="24"/>
        </w:rPr>
        <w:t xml:space="preserve">hose on </w:t>
      </w:r>
      <w:r w:rsidR="00C84A35" w:rsidRPr="00AD74C7">
        <w:rPr>
          <w:szCs w:val="24"/>
        </w:rPr>
        <w:t>‘</w:t>
      </w:r>
      <w:r w:rsidR="00EA76CA" w:rsidRPr="00AD74C7">
        <w:rPr>
          <w:szCs w:val="24"/>
        </w:rPr>
        <w:t>Foundation Learning</w:t>
      </w:r>
      <w:r w:rsidR="00C84A35" w:rsidRPr="00AD74C7">
        <w:rPr>
          <w:szCs w:val="24"/>
        </w:rPr>
        <w:t>’</w:t>
      </w:r>
      <w:r w:rsidR="00EA76CA" w:rsidRPr="00AD74C7">
        <w:rPr>
          <w:szCs w:val="24"/>
        </w:rPr>
        <w:t xml:space="preserve"> programmes at the lowest levels </w:t>
      </w:r>
      <w:r w:rsidR="00E15FC0" w:rsidRPr="00AD74C7">
        <w:rPr>
          <w:szCs w:val="24"/>
        </w:rPr>
        <w:t xml:space="preserve">were </w:t>
      </w:r>
      <w:r w:rsidR="00EA76CA" w:rsidRPr="00AD74C7">
        <w:rPr>
          <w:szCs w:val="24"/>
        </w:rPr>
        <w:t xml:space="preserve">offered too few meaningful opportunities for work experience and other practical learning situations and were too focused on accreditation.   Such </w:t>
      </w:r>
      <w:r w:rsidR="00D72FA5" w:rsidRPr="00AD74C7">
        <w:rPr>
          <w:szCs w:val="24"/>
        </w:rPr>
        <w:t>Entry-level</w:t>
      </w:r>
      <w:r w:rsidR="00EA76CA" w:rsidRPr="00AD74C7">
        <w:rPr>
          <w:szCs w:val="24"/>
        </w:rPr>
        <w:t xml:space="preserve"> learning, </w:t>
      </w:r>
      <w:r w:rsidR="00A9300D" w:rsidRPr="00AD74C7">
        <w:rPr>
          <w:szCs w:val="24"/>
        </w:rPr>
        <w:t>in addition</w:t>
      </w:r>
      <w:r w:rsidR="00EA76CA" w:rsidRPr="00AD74C7">
        <w:rPr>
          <w:szCs w:val="24"/>
        </w:rPr>
        <w:t>, could only be funded for three days a week which was insufficient, and when learners reached the age of 19 there was insufficient advice and confus</w:t>
      </w:r>
      <w:r w:rsidR="009F727F" w:rsidRPr="00AD74C7">
        <w:rPr>
          <w:szCs w:val="24"/>
        </w:rPr>
        <w:t>ed</w:t>
      </w:r>
      <w:r w:rsidR="00EA76CA" w:rsidRPr="00AD74C7">
        <w:rPr>
          <w:szCs w:val="24"/>
        </w:rPr>
        <w:t xml:space="preserve"> funding – seen as a potential barrier to participation (Ofsted, 2011:7).  In this survey half of the sessions observed were ‘good or better’</w:t>
      </w:r>
      <w:r w:rsidR="00AD74C7">
        <w:rPr>
          <w:szCs w:val="24"/>
        </w:rPr>
        <w:t xml:space="preserve"> but</w:t>
      </w:r>
      <w:r w:rsidR="00A9300D" w:rsidRPr="00AD74C7">
        <w:rPr>
          <w:szCs w:val="24"/>
        </w:rPr>
        <w:t>,</w:t>
      </w:r>
      <w:r w:rsidR="00360B33" w:rsidRPr="00AD74C7">
        <w:rPr>
          <w:szCs w:val="24"/>
        </w:rPr>
        <w:t xml:space="preserve"> </w:t>
      </w:r>
    </w:p>
    <w:p w:rsidR="00D9211C" w:rsidRPr="00AD74C7" w:rsidRDefault="00360B33" w:rsidP="00AD74C7">
      <w:pPr>
        <w:pStyle w:val="Bulletskeyfindings"/>
        <w:numPr>
          <w:ilvl w:val="0"/>
          <w:numId w:val="0"/>
        </w:numPr>
        <w:ind w:left="720"/>
        <w:rPr>
          <w:rFonts w:ascii="Trebuchet MS" w:hAnsi="Trebuchet MS"/>
        </w:rPr>
      </w:pPr>
      <w:r w:rsidRPr="00AD74C7">
        <w:rPr>
          <w:rFonts w:ascii="Trebuchet MS" w:hAnsi="Trebuchet MS"/>
          <w:i/>
        </w:rPr>
        <w:t>‘...</w:t>
      </w:r>
      <w:r w:rsidR="00972565" w:rsidRPr="00AD74C7">
        <w:rPr>
          <w:rFonts w:ascii="Trebuchet MS" w:hAnsi="Trebuchet MS"/>
          <w:i/>
        </w:rPr>
        <w:t>areas for improvement included poorly planned support, low expectations of learners and too much focus on achievement of units, rather than generic goals such as social skills that would prepare learners for their future destinations.</w:t>
      </w:r>
      <w:r w:rsidRPr="00AD74C7">
        <w:rPr>
          <w:rFonts w:ascii="Trebuchet MS" w:hAnsi="Trebuchet MS"/>
          <w:i/>
        </w:rPr>
        <w:t>’</w:t>
      </w:r>
      <w:r w:rsidR="00972565" w:rsidRPr="00AD74C7">
        <w:rPr>
          <w:rFonts w:ascii="Trebuchet MS" w:hAnsi="Trebuchet MS"/>
        </w:rPr>
        <w:t xml:space="preserve"> </w:t>
      </w:r>
      <w:r w:rsidR="009F727F" w:rsidRPr="00AD74C7">
        <w:rPr>
          <w:rFonts w:ascii="Trebuchet MS" w:hAnsi="Trebuchet MS"/>
        </w:rPr>
        <w:t xml:space="preserve"> </w:t>
      </w:r>
      <w:r w:rsidRPr="00AD74C7">
        <w:rPr>
          <w:rFonts w:ascii="Trebuchet MS" w:hAnsi="Trebuchet MS"/>
        </w:rPr>
        <w:t>(Ofsted, 2011:7)</w:t>
      </w:r>
    </w:p>
    <w:p w:rsidR="00110D63" w:rsidRPr="00AD74C7" w:rsidRDefault="00110D63" w:rsidP="00AD74C7">
      <w:pPr>
        <w:pStyle w:val="Bulletskeyfindings"/>
        <w:numPr>
          <w:ilvl w:val="0"/>
          <w:numId w:val="0"/>
        </w:numPr>
        <w:ind w:left="720"/>
        <w:rPr>
          <w:rFonts w:ascii="Trebuchet MS" w:hAnsi="Trebuchet MS"/>
        </w:rPr>
      </w:pPr>
    </w:p>
    <w:p w:rsidR="00360B33" w:rsidRPr="00AD74C7" w:rsidRDefault="00360B33" w:rsidP="00AD74C7">
      <w:pPr>
        <w:spacing w:line="240" w:lineRule="auto"/>
        <w:rPr>
          <w:szCs w:val="24"/>
        </w:rPr>
      </w:pPr>
      <w:r w:rsidRPr="00AD74C7">
        <w:rPr>
          <w:szCs w:val="24"/>
        </w:rPr>
        <w:t>There has been some improvement in the quality of educational provision, certainly</w:t>
      </w:r>
      <w:r w:rsidR="00E15FC0" w:rsidRPr="00AD74C7">
        <w:rPr>
          <w:szCs w:val="24"/>
        </w:rPr>
        <w:t>,</w:t>
      </w:r>
      <w:r w:rsidRPr="00AD74C7">
        <w:rPr>
          <w:szCs w:val="24"/>
        </w:rPr>
        <w:t xml:space="preserve"> for those who receive learning support as part of ‘mainstream provision’.</w:t>
      </w:r>
      <w:r w:rsidR="00E15FC0" w:rsidRPr="00AD74C7">
        <w:rPr>
          <w:szCs w:val="24"/>
        </w:rPr>
        <w:t xml:space="preserve">  </w:t>
      </w:r>
      <w:r w:rsidRPr="00AD74C7">
        <w:rPr>
          <w:szCs w:val="24"/>
        </w:rPr>
        <w:t xml:space="preserve">Of concern must be the </w:t>
      </w:r>
      <w:r w:rsidR="00E15FC0" w:rsidRPr="00AD74C7">
        <w:rPr>
          <w:szCs w:val="24"/>
        </w:rPr>
        <w:t>inappropriate accreditation, poor curriculum planning and poor</w:t>
      </w:r>
      <w:r w:rsidR="009F727F" w:rsidRPr="00AD74C7">
        <w:rPr>
          <w:szCs w:val="24"/>
        </w:rPr>
        <w:t xml:space="preserve"> teaching</w:t>
      </w:r>
      <w:r w:rsidR="00E15FC0" w:rsidRPr="00AD74C7">
        <w:rPr>
          <w:szCs w:val="24"/>
        </w:rPr>
        <w:t xml:space="preserve"> </w:t>
      </w:r>
      <w:r w:rsidR="0006663A" w:rsidRPr="00AD74C7">
        <w:rPr>
          <w:szCs w:val="24"/>
        </w:rPr>
        <w:t xml:space="preserve">for </w:t>
      </w:r>
      <w:proofErr w:type="gramStart"/>
      <w:r w:rsidR="0006663A" w:rsidRPr="00AD74C7">
        <w:rPr>
          <w:szCs w:val="24"/>
        </w:rPr>
        <w:t>those not in ‘mainstream’ provision</w:t>
      </w:r>
      <w:proofErr w:type="gramEnd"/>
      <w:r w:rsidR="0006663A" w:rsidRPr="00AD74C7">
        <w:rPr>
          <w:szCs w:val="24"/>
        </w:rPr>
        <w:t xml:space="preserve">.  For learners </w:t>
      </w:r>
      <w:r w:rsidR="00E15FC0" w:rsidRPr="00AD74C7">
        <w:rPr>
          <w:szCs w:val="24"/>
        </w:rPr>
        <w:t>on courses for people with disabilities</w:t>
      </w:r>
      <w:r w:rsidR="0006663A" w:rsidRPr="00AD74C7">
        <w:rPr>
          <w:szCs w:val="24"/>
        </w:rPr>
        <w:t>, the</w:t>
      </w:r>
      <w:r w:rsidR="00E15FC0" w:rsidRPr="00AD74C7">
        <w:rPr>
          <w:szCs w:val="24"/>
        </w:rPr>
        <w:t xml:space="preserve"> </w:t>
      </w:r>
      <w:r w:rsidRPr="00AD74C7">
        <w:rPr>
          <w:szCs w:val="24"/>
        </w:rPr>
        <w:t xml:space="preserve">quality of provision for those on </w:t>
      </w:r>
      <w:r w:rsidR="00D72FA5" w:rsidRPr="00AD74C7">
        <w:rPr>
          <w:szCs w:val="24"/>
        </w:rPr>
        <w:t>Entry-level</w:t>
      </w:r>
      <w:r w:rsidRPr="00AD74C7">
        <w:rPr>
          <w:szCs w:val="24"/>
        </w:rPr>
        <w:t xml:space="preserve"> courses </w:t>
      </w:r>
      <w:r w:rsidR="00E15FC0" w:rsidRPr="00AD74C7">
        <w:rPr>
          <w:szCs w:val="24"/>
        </w:rPr>
        <w:t>urgently</w:t>
      </w:r>
      <w:r w:rsidRPr="00AD74C7">
        <w:rPr>
          <w:szCs w:val="24"/>
        </w:rPr>
        <w:t xml:space="preserve"> needs to be addressed, </w:t>
      </w:r>
      <w:r w:rsidR="00BE0871" w:rsidRPr="00AD74C7">
        <w:rPr>
          <w:szCs w:val="24"/>
        </w:rPr>
        <w:t>as Tomlinson knew:</w:t>
      </w:r>
    </w:p>
    <w:p w:rsidR="00BE0871" w:rsidRPr="00AD74C7" w:rsidRDefault="00BE0871" w:rsidP="00AD74C7">
      <w:pPr>
        <w:spacing w:line="240" w:lineRule="auto"/>
        <w:ind w:left="720"/>
        <w:rPr>
          <w:szCs w:val="24"/>
        </w:rPr>
      </w:pPr>
      <w:r w:rsidRPr="00AD74C7">
        <w:rPr>
          <w:b/>
          <w:i/>
          <w:szCs w:val="24"/>
        </w:rPr>
        <w:t>‘</w:t>
      </w:r>
      <w:r w:rsidR="00F75B0B" w:rsidRPr="00AD74C7">
        <w:rPr>
          <w:b/>
          <w:i/>
          <w:szCs w:val="24"/>
        </w:rPr>
        <w:t>...</w:t>
      </w:r>
      <w:r w:rsidRPr="00AD74C7">
        <w:rPr>
          <w:b/>
          <w:i/>
          <w:szCs w:val="24"/>
        </w:rPr>
        <w:t>we are not recommending an idealistic dream, but the reality of extending widely the high quality which already ex</w:t>
      </w:r>
      <w:r w:rsidR="00F75B0B" w:rsidRPr="00AD74C7">
        <w:rPr>
          <w:b/>
          <w:i/>
          <w:szCs w:val="24"/>
        </w:rPr>
        <w:t>i</w:t>
      </w:r>
      <w:r w:rsidRPr="00AD74C7">
        <w:rPr>
          <w:b/>
          <w:i/>
          <w:szCs w:val="24"/>
        </w:rPr>
        <w:t>sts in pockets, locked in the minds and actions of the few who must become the many</w:t>
      </w:r>
      <w:r w:rsidR="00F75B0B" w:rsidRPr="00AD74C7">
        <w:rPr>
          <w:b/>
          <w:i/>
          <w:szCs w:val="24"/>
        </w:rPr>
        <w:t>.’</w:t>
      </w:r>
      <w:r w:rsidR="00F75B0B" w:rsidRPr="00AD74C7">
        <w:rPr>
          <w:b/>
          <w:szCs w:val="24"/>
        </w:rPr>
        <w:t xml:space="preserve"> </w:t>
      </w:r>
      <w:r w:rsidR="00F75B0B" w:rsidRPr="00AD74C7">
        <w:rPr>
          <w:szCs w:val="24"/>
        </w:rPr>
        <w:tab/>
        <w:t>(Tomlinson, 1996:11)</w:t>
      </w:r>
    </w:p>
    <w:p w:rsidR="005D1AEB" w:rsidRPr="00AD74C7" w:rsidRDefault="0006663A" w:rsidP="00AD74C7">
      <w:pPr>
        <w:spacing w:line="240" w:lineRule="auto"/>
        <w:rPr>
          <w:szCs w:val="24"/>
        </w:rPr>
      </w:pPr>
      <w:r w:rsidRPr="00AD74C7">
        <w:rPr>
          <w:szCs w:val="24"/>
        </w:rPr>
        <w:t>As we found in 199</w:t>
      </w:r>
      <w:r w:rsidR="005D1AEB" w:rsidRPr="00AD74C7">
        <w:rPr>
          <w:szCs w:val="24"/>
        </w:rPr>
        <w:t>6</w:t>
      </w:r>
      <w:r w:rsidRPr="00AD74C7">
        <w:rPr>
          <w:szCs w:val="24"/>
        </w:rPr>
        <w:t xml:space="preserve"> sometimes the curriculum for those on courses exclusively for people with disabilities had no real point</w:t>
      </w:r>
      <w:r w:rsidR="005D1AEB" w:rsidRPr="00AD74C7">
        <w:rPr>
          <w:szCs w:val="24"/>
        </w:rPr>
        <w:t xml:space="preserve">.  It sometimes had irrelevant qualifications in it and an obsessive focus on literacy and numeracy competencies.  </w:t>
      </w:r>
    </w:p>
    <w:p w:rsidR="00F75B0B" w:rsidRPr="00AD74C7" w:rsidRDefault="005D1AEB" w:rsidP="00AD74C7">
      <w:pPr>
        <w:spacing w:line="240" w:lineRule="auto"/>
        <w:rPr>
          <w:szCs w:val="24"/>
        </w:rPr>
      </w:pPr>
      <w:r w:rsidRPr="00AD74C7">
        <w:rPr>
          <w:szCs w:val="24"/>
        </w:rPr>
        <w:t>Is</w:t>
      </w:r>
      <w:r w:rsidR="00D9211C" w:rsidRPr="00AD74C7">
        <w:rPr>
          <w:szCs w:val="24"/>
        </w:rPr>
        <w:t xml:space="preserve"> the quality of learning still poorer than for other students?  </w:t>
      </w:r>
      <w:r w:rsidR="005D5B52" w:rsidRPr="00AD74C7">
        <w:rPr>
          <w:szCs w:val="24"/>
        </w:rPr>
        <w:t>Probably not as much any longer, though for those not on ‘mainstream’ programmes at Entry level there</w:t>
      </w:r>
      <w:r w:rsidR="00A9300D" w:rsidRPr="00AD74C7">
        <w:rPr>
          <w:szCs w:val="24"/>
        </w:rPr>
        <w:t xml:space="preserve"> </w:t>
      </w:r>
      <w:r w:rsidR="00A9300D" w:rsidRPr="00AD74C7">
        <w:rPr>
          <w:szCs w:val="24"/>
        </w:rPr>
        <w:lastRenderedPageBreak/>
        <w:t xml:space="preserve">is clearly some way to go and, </w:t>
      </w:r>
      <w:r w:rsidR="005D5B52" w:rsidRPr="00AD74C7">
        <w:rPr>
          <w:szCs w:val="24"/>
        </w:rPr>
        <w:t>just as in 1996</w:t>
      </w:r>
      <w:r w:rsidR="00A9300D" w:rsidRPr="00AD74C7">
        <w:rPr>
          <w:szCs w:val="24"/>
        </w:rPr>
        <w:t>,</w:t>
      </w:r>
      <w:r w:rsidR="005D5B52" w:rsidRPr="00AD74C7">
        <w:rPr>
          <w:szCs w:val="24"/>
        </w:rPr>
        <w:t xml:space="preserve"> a need for continual professional development in order to increase the number of classes which are good or outstanding – currently only 50 per cent.</w:t>
      </w:r>
      <w:r w:rsidR="00C84A35" w:rsidRPr="00AD74C7">
        <w:rPr>
          <w:szCs w:val="24"/>
        </w:rPr>
        <w:t xml:space="preserve">  What would make a significant difference to quality here is if we increased the amount of provision where learners were supported on ‘mainstream’ programmes</w:t>
      </w:r>
      <w:r w:rsidR="00FE5B6E" w:rsidRPr="00AD74C7">
        <w:rPr>
          <w:szCs w:val="24"/>
        </w:rPr>
        <w:t>,</w:t>
      </w:r>
      <w:r w:rsidR="00C84A35" w:rsidRPr="00AD74C7">
        <w:rPr>
          <w:szCs w:val="24"/>
        </w:rPr>
        <w:t xml:space="preserve"> and reduced at the same time the separate and ‘discrete’ provision so familiar to the Tomlinson Committee.  A simple point: if the quality of outcome is </w:t>
      </w:r>
      <w:r w:rsidR="00DF0B60" w:rsidRPr="00AD74C7">
        <w:rPr>
          <w:szCs w:val="24"/>
        </w:rPr>
        <w:t xml:space="preserve">what we want then </w:t>
      </w:r>
      <w:r w:rsidR="00FE5B6E" w:rsidRPr="00AD74C7">
        <w:rPr>
          <w:szCs w:val="24"/>
        </w:rPr>
        <w:t xml:space="preserve">the personalised </w:t>
      </w:r>
      <w:r w:rsidR="00DF0B60" w:rsidRPr="00AD74C7">
        <w:rPr>
          <w:szCs w:val="24"/>
        </w:rPr>
        <w:t>support for students to attend a course like anyone else is what we need.  In this way learners would get more choice and better quality of provision.</w:t>
      </w:r>
      <w:r w:rsidR="00A36684" w:rsidRPr="00AD74C7">
        <w:rPr>
          <w:szCs w:val="24"/>
        </w:rPr>
        <w:t xml:space="preserve">  For those on courses specifically for students with disabilities we need a re-think: better curriculum planning, no irrelevant qualifications and certainly no accreditation of basic human functions</w:t>
      </w:r>
      <w:r w:rsidR="003F1D18">
        <w:rPr>
          <w:szCs w:val="24"/>
        </w:rPr>
        <w:t xml:space="preserve"> (all key weaknesses in the Ofsted survey)</w:t>
      </w:r>
      <w:r w:rsidR="00A36684" w:rsidRPr="00AD74C7">
        <w:rPr>
          <w:szCs w:val="24"/>
        </w:rPr>
        <w:t>.</w:t>
      </w:r>
    </w:p>
    <w:p w:rsidR="00F75B0B" w:rsidRPr="00AD74C7" w:rsidRDefault="005D5B52" w:rsidP="00AD74C7">
      <w:pPr>
        <w:spacing w:line="240" w:lineRule="auto"/>
        <w:rPr>
          <w:szCs w:val="24"/>
        </w:rPr>
      </w:pPr>
      <w:r w:rsidRPr="00AD74C7">
        <w:rPr>
          <w:szCs w:val="24"/>
        </w:rPr>
        <w:t xml:space="preserve">Turning to Tomlinson’s second main finding, that some groups of learners are not yet properly represented in further education, I </w:t>
      </w:r>
      <w:r w:rsidR="00E15FC0" w:rsidRPr="00AD74C7">
        <w:rPr>
          <w:szCs w:val="24"/>
        </w:rPr>
        <w:t xml:space="preserve">consider both the original report and </w:t>
      </w:r>
      <w:r w:rsidRPr="00AD74C7">
        <w:rPr>
          <w:szCs w:val="24"/>
        </w:rPr>
        <w:t>recent data.</w:t>
      </w:r>
    </w:p>
    <w:p w:rsidR="009F727F" w:rsidRPr="00AD74C7" w:rsidRDefault="009F727F" w:rsidP="00AD74C7">
      <w:pPr>
        <w:spacing w:line="240" w:lineRule="auto"/>
        <w:rPr>
          <w:szCs w:val="24"/>
        </w:rPr>
      </w:pPr>
    </w:p>
    <w:p w:rsidR="00360B33" w:rsidRPr="00AD74C7" w:rsidRDefault="00360B33" w:rsidP="00AD74C7">
      <w:pPr>
        <w:spacing w:line="240" w:lineRule="auto"/>
        <w:rPr>
          <w:b/>
          <w:szCs w:val="24"/>
        </w:rPr>
      </w:pPr>
      <w:r w:rsidRPr="00AD74C7">
        <w:rPr>
          <w:b/>
          <w:szCs w:val="24"/>
        </w:rPr>
        <w:t>Participation</w:t>
      </w:r>
    </w:p>
    <w:p w:rsidR="00B65E18" w:rsidRPr="00AD74C7" w:rsidRDefault="00717FA3" w:rsidP="00AD74C7">
      <w:pPr>
        <w:spacing w:line="240" w:lineRule="auto"/>
        <w:rPr>
          <w:rFonts w:cs="ArialMT"/>
          <w:szCs w:val="24"/>
        </w:rPr>
      </w:pPr>
      <w:r w:rsidRPr="00AD74C7">
        <w:rPr>
          <w:szCs w:val="24"/>
        </w:rPr>
        <w:t>Uns</w:t>
      </w:r>
      <w:r w:rsidR="003D3F65" w:rsidRPr="00AD74C7">
        <w:rPr>
          <w:szCs w:val="24"/>
        </w:rPr>
        <w:t>urprisingly, as data has become more sophisticated and self declaration of disability has become the norm</w:t>
      </w:r>
      <w:r w:rsidR="0003749A" w:rsidRPr="00AD74C7">
        <w:rPr>
          <w:rStyle w:val="FootnoteReference"/>
          <w:szCs w:val="24"/>
        </w:rPr>
        <w:footnoteReference w:id="6"/>
      </w:r>
      <w:r w:rsidR="003D3F65" w:rsidRPr="00AD74C7">
        <w:rPr>
          <w:szCs w:val="24"/>
        </w:rPr>
        <w:t xml:space="preserve">, the </w:t>
      </w:r>
      <w:r w:rsidRPr="00AD74C7">
        <w:rPr>
          <w:szCs w:val="24"/>
        </w:rPr>
        <w:t xml:space="preserve">further education </w:t>
      </w:r>
      <w:r w:rsidR="006E514D" w:rsidRPr="00AD74C7">
        <w:rPr>
          <w:szCs w:val="24"/>
        </w:rPr>
        <w:t xml:space="preserve">adult </w:t>
      </w:r>
      <w:r w:rsidR="003D3F65" w:rsidRPr="00AD74C7">
        <w:rPr>
          <w:szCs w:val="24"/>
        </w:rPr>
        <w:t xml:space="preserve">student population </w:t>
      </w:r>
      <w:r w:rsidR="00B5314F" w:rsidRPr="00AD74C7">
        <w:rPr>
          <w:szCs w:val="24"/>
        </w:rPr>
        <w:t xml:space="preserve">aged over 25 </w:t>
      </w:r>
      <w:r w:rsidR="003D3F65" w:rsidRPr="00AD74C7">
        <w:rPr>
          <w:szCs w:val="24"/>
        </w:rPr>
        <w:t xml:space="preserve">with disabilities has risen from </w:t>
      </w:r>
      <w:r w:rsidR="00A9300D" w:rsidRPr="00AD74C7">
        <w:rPr>
          <w:szCs w:val="24"/>
        </w:rPr>
        <w:t xml:space="preserve">an estimated </w:t>
      </w:r>
      <w:r w:rsidR="00B5314F" w:rsidRPr="00AD74C7">
        <w:rPr>
          <w:szCs w:val="24"/>
        </w:rPr>
        <w:t xml:space="preserve">63,250 </w:t>
      </w:r>
      <w:r w:rsidR="003D3F65" w:rsidRPr="00AD74C7">
        <w:rPr>
          <w:szCs w:val="24"/>
        </w:rPr>
        <w:t>in 1995</w:t>
      </w:r>
      <w:r w:rsidR="00254B9A" w:rsidRPr="00AD74C7">
        <w:rPr>
          <w:rStyle w:val="FootnoteReference"/>
          <w:szCs w:val="24"/>
        </w:rPr>
        <w:footnoteReference w:id="7"/>
      </w:r>
      <w:r w:rsidR="00E448E5" w:rsidRPr="00AD74C7">
        <w:rPr>
          <w:szCs w:val="24"/>
        </w:rPr>
        <w:t xml:space="preserve"> to </w:t>
      </w:r>
      <w:r w:rsidR="00B5314F" w:rsidRPr="00AD74C7">
        <w:rPr>
          <w:szCs w:val="24"/>
        </w:rPr>
        <w:t>337</w:t>
      </w:r>
      <w:r w:rsidR="006E514D" w:rsidRPr="00AD74C7">
        <w:rPr>
          <w:szCs w:val="24"/>
        </w:rPr>
        <w:t>,0</w:t>
      </w:r>
      <w:r w:rsidR="00B5314F" w:rsidRPr="00AD74C7">
        <w:rPr>
          <w:szCs w:val="24"/>
        </w:rPr>
        <w:t>00</w:t>
      </w:r>
      <w:r w:rsidR="00E448E5" w:rsidRPr="00AD74C7">
        <w:rPr>
          <w:szCs w:val="24"/>
        </w:rPr>
        <w:t xml:space="preserve"> </w:t>
      </w:r>
      <w:r w:rsidR="00CD2418" w:rsidRPr="00AD74C7">
        <w:rPr>
          <w:szCs w:val="24"/>
        </w:rPr>
        <w:t>in 2003</w:t>
      </w:r>
      <w:r w:rsidR="00CD2418" w:rsidRPr="00AD74C7">
        <w:rPr>
          <w:rStyle w:val="FootnoteReference"/>
          <w:szCs w:val="24"/>
        </w:rPr>
        <w:footnoteReference w:id="8"/>
      </w:r>
      <w:r w:rsidR="00CD2418" w:rsidRPr="00AD74C7">
        <w:rPr>
          <w:szCs w:val="24"/>
        </w:rPr>
        <w:t xml:space="preserve"> </w:t>
      </w:r>
      <w:r w:rsidR="008741CC" w:rsidRPr="00AD74C7">
        <w:rPr>
          <w:szCs w:val="24"/>
        </w:rPr>
        <w:t xml:space="preserve">but these figures are notoriously difficult to get right.  Declaring a disability is very different from requiring learning support.  Whatever the true number some idea of the trends are important.  </w:t>
      </w:r>
      <w:r w:rsidR="00B65E18" w:rsidRPr="00AD74C7">
        <w:rPr>
          <w:szCs w:val="24"/>
        </w:rPr>
        <w:t xml:space="preserve">The Institute of Employment Studies (IES) found in 2008 that, although 19 per cent </w:t>
      </w:r>
      <w:r w:rsidR="008741CC" w:rsidRPr="00AD74C7">
        <w:rPr>
          <w:szCs w:val="24"/>
        </w:rPr>
        <w:t xml:space="preserve">of education and training providers in England </w:t>
      </w:r>
      <w:r w:rsidR="00B65E18" w:rsidRPr="00AD74C7">
        <w:rPr>
          <w:szCs w:val="24"/>
        </w:rPr>
        <w:t>had reduced their provision</w:t>
      </w:r>
      <w:r w:rsidR="008741CC" w:rsidRPr="00AD74C7">
        <w:rPr>
          <w:szCs w:val="24"/>
        </w:rPr>
        <w:t xml:space="preserve"> that year</w:t>
      </w:r>
      <w:r w:rsidR="00B65E18" w:rsidRPr="00AD74C7">
        <w:rPr>
          <w:szCs w:val="24"/>
        </w:rPr>
        <w:t xml:space="preserve">, </w:t>
      </w:r>
      <w:r w:rsidR="008741CC" w:rsidRPr="00AD74C7">
        <w:rPr>
          <w:szCs w:val="24"/>
        </w:rPr>
        <w:t xml:space="preserve">more </w:t>
      </w:r>
      <w:r w:rsidR="009F727F" w:rsidRPr="00AD74C7">
        <w:rPr>
          <w:szCs w:val="24"/>
        </w:rPr>
        <w:t xml:space="preserve">than 27 per cent </w:t>
      </w:r>
      <w:r w:rsidR="008741CC" w:rsidRPr="00AD74C7">
        <w:rPr>
          <w:szCs w:val="24"/>
        </w:rPr>
        <w:t>had increased it</w:t>
      </w:r>
      <w:r w:rsidR="009F727F" w:rsidRPr="00AD74C7">
        <w:rPr>
          <w:szCs w:val="24"/>
        </w:rPr>
        <w:t>, ‘...</w:t>
      </w:r>
      <w:r w:rsidR="00B65E18" w:rsidRPr="00AD74C7">
        <w:rPr>
          <w:rFonts w:cs="ArialMT"/>
          <w:i/>
          <w:szCs w:val="24"/>
        </w:rPr>
        <w:t>mainly in response to increased demand from learners</w:t>
      </w:r>
      <w:r w:rsidR="009F727F" w:rsidRPr="00AD74C7">
        <w:rPr>
          <w:rFonts w:cs="ArialMT"/>
          <w:i/>
          <w:szCs w:val="24"/>
        </w:rPr>
        <w:t>’</w:t>
      </w:r>
      <w:r w:rsidR="00B65E18" w:rsidRPr="00AD74C7">
        <w:rPr>
          <w:rStyle w:val="FootnoteReference"/>
          <w:rFonts w:cs="ArialMT"/>
          <w:i/>
          <w:szCs w:val="24"/>
        </w:rPr>
        <w:footnoteReference w:id="9"/>
      </w:r>
      <w:r w:rsidR="009F727F" w:rsidRPr="00AD74C7">
        <w:rPr>
          <w:rFonts w:cs="ArialMT"/>
          <w:i/>
          <w:szCs w:val="24"/>
        </w:rPr>
        <w:t xml:space="preserve"> </w:t>
      </w:r>
      <w:r w:rsidR="00B65E18" w:rsidRPr="00AD74C7">
        <w:rPr>
          <w:rFonts w:cs="ArialMT"/>
          <w:szCs w:val="24"/>
        </w:rPr>
        <w:t>(LSC,2010:1)</w:t>
      </w:r>
      <w:r w:rsidR="009F727F" w:rsidRPr="00AD74C7">
        <w:rPr>
          <w:rFonts w:cs="ArialMT"/>
          <w:szCs w:val="24"/>
        </w:rPr>
        <w:t>.</w:t>
      </w:r>
    </w:p>
    <w:p w:rsidR="007F3452" w:rsidRPr="00AD74C7" w:rsidRDefault="007F3452" w:rsidP="00AD74C7">
      <w:pPr>
        <w:autoSpaceDE w:val="0"/>
        <w:autoSpaceDN w:val="0"/>
        <w:adjustRightInd w:val="0"/>
        <w:spacing w:after="0" w:line="240" w:lineRule="auto"/>
        <w:rPr>
          <w:rFonts w:cs="ArialMT"/>
          <w:szCs w:val="24"/>
        </w:rPr>
      </w:pPr>
      <w:r w:rsidRPr="00AD74C7">
        <w:rPr>
          <w:rFonts w:cs="ArialMT"/>
          <w:szCs w:val="24"/>
        </w:rPr>
        <w:t>However, IES went on to note</w:t>
      </w:r>
      <w:r w:rsidR="00E37F3F" w:rsidRPr="00AD74C7">
        <w:rPr>
          <w:rFonts w:cs="ArialMT"/>
          <w:szCs w:val="24"/>
        </w:rPr>
        <w:t xml:space="preserve"> that,</w:t>
      </w:r>
    </w:p>
    <w:p w:rsidR="007F3452" w:rsidRPr="00AD74C7" w:rsidRDefault="007F3452" w:rsidP="00AD74C7">
      <w:pPr>
        <w:autoSpaceDE w:val="0"/>
        <w:autoSpaceDN w:val="0"/>
        <w:adjustRightInd w:val="0"/>
        <w:spacing w:after="0" w:line="240" w:lineRule="auto"/>
        <w:rPr>
          <w:rFonts w:cs="ArialMT"/>
          <w:szCs w:val="24"/>
        </w:rPr>
      </w:pPr>
    </w:p>
    <w:p w:rsidR="0003749A" w:rsidRPr="00AD74C7" w:rsidRDefault="007F3452" w:rsidP="00AD74C7">
      <w:pPr>
        <w:autoSpaceDE w:val="0"/>
        <w:autoSpaceDN w:val="0"/>
        <w:adjustRightInd w:val="0"/>
        <w:spacing w:after="0" w:line="240" w:lineRule="auto"/>
        <w:ind w:left="720"/>
        <w:rPr>
          <w:rFonts w:cs="ArialMT"/>
          <w:b/>
          <w:i/>
          <w:szCs w:val="24"/>
        </w:rPr>
      </w:pPr>
      <w:r w:rsidRPr="00AD74C7">
        <w:rPr>
          <w:rFonts w:cs="ArialMT"/>
          <w:b/>
          <w:i/>
          <w:szCs w:val="24"/>
        </w:rPr>
        <w:t>‘</w:t>
      </w:r>
      <w:r w:rsidR="00E37F3F" w:rsidRPr="00AD74C7">
        <w:rPr>
          <w:rFonts w:cs="ArialMT"/>
          <w:b/>
          <w:i/>
          <w:szCs w:val="24"/>
        </w:rPr>
        <w:t>...</w:t>
      </w:r>
      <w:r w:rsidR="0003749A" w:rsidRPr="00AD74C7">
        <w:rPr>
          <w:rFonts w:cs="ArialMT"/>
          <w:b/>
          <w:i/>
          <w:szCs w:val="24"/>
        </w:rPr>
        <w:t>adult learners declaring a disability declined by almost a</w:t>
      </w:r>
    </w:p>
    <w:p w:rsidR="0003749A" w:rsidRPr="00AD74C7" w:rsidRDefault="0003749A" w:rsidP="00AD74C7">
      <w:pPr>
        <w:autoSpaceDE w:val="0"/>
        <w:autoSpaceDN w:val="0"/>
        <w:adjustRightInd w:val="0"/>
        <w:spacing w:after="0" w:line="240" w:lineRule="auto"/>
        <w:ind w:left="720"/>
        <w:rPr>
          <w:rFonts w:cs="ArialMT"/>
          <w:szCs w:val="24"/>
        </w:rPr>
      </w:pPr>
      <w:r w:rsidRPr="00AD74C7">
        <w:rPr>
          <w:rFonts w:cs="ArialMT"/>
          <w:b/>
          <w:i/>
          <w:szCs w:val="24"/>
        </w:rPr>
        <w:lastRenderedPageBreak/>
        <w:t>fifth (18 per cent) during the same period</w:t>
      </w:r>
      <w:r w:rsidRPr="00AD74C7">
        <w:rPr>
          <w:rFonts w:cs="ArialMT"/>
          <w:i/>
          <w:szCs w:val="24"/>
        </w:rPr>
        <w:t>, from 122,987 in 2004/05 to 100,285 in</w:t>
      </w:r>
      <w:r w:rsidR="007F3452" w:rsidRPr="00AD74C7">
        <w:rPr>
          <w:rFonts w:cs="ArialMT"/>
          <w:i/>
          <w:szCs w:val="24"/>
        </w:rPr>
        <w:t xml:space="preserve"> </w:t>
      </w:r>
      <w:r w:rsidRPr="00AD74C7">
        <w:rPr>
          <w:rFonts w:cs="ArialMT"/>
          <w:i/>
          <w:szCs w:val="24"/>
        </w:rPr>
        <w:t xml:space="preserve">2006/07; </w:t>
      </w:r>
      <w:r w:rsidRPr="00AD74C7">
        <w:rPr>
          <w:rFonts w:cs="ArialMT"/>
          <w:b/>
          <w:i/>
          <w:szCs w:val="24"/>
        </w:rPr>
        <w:t>while those self-declaring a learning difficulty fell by more than a tenth</w:t>
      </w:r>
      <w:r w:rsidR="007F3452" w:rsidRPr="00AD74C7">
        <w:rPr>
          <w:rFonts w:cs="ArialMT"/>
          <w:i/>
          <w:szCs w:val="24"/>
        </w:rPr>
        <w:t xml:space="preserve"> </w:t>
      </w:r>
      <w:r w:rsidRPr="00AD74C7">
        <w:rPr>
          <w:rFonts w:cs="ArialMT"/>
          <w:i/>
          <w:szCs w:val="24"/>
        </w:rPr>
        <w:t xml:space="preserve">(13 per cent), from 34,410 to 29,611 </w:t>
      </w:r>
      <w:r w:rsidRPr="00AD74C7">
        <w:rPr>
          <w:rFonts w:cs="ArialMT"/>
          <w:b/>
          <w:i/>
          <w:szCs w:val="24"/>
        </w:rPr>
        <w:t>over the three-year period</w:t>
      </w:r>
      <w:r w:rsidRPr="00AD74C7">
        <w:rPr>
          <w:rFonts w:cs="ArialMT"/>
          <w:i/>
          <w:szCs w:val="24"/>
        </w:rPr>
        <w:t>.</w:t>
      </w:r>
      <w:r w:rsidR="009F727F" w:rsidRPr="00AD74C7">
        <w:rPr>
          <w:rFonts w:cs="ArialMT"/>
          <w:i/>
          <w:szCs w:val="24"/>
        </w:rPr>
        <w:t>’</w:t>
      </w:r>
      <w:r w:rsidR="009F727F" w:rsidRPr="00AD74C7">
        <w:rPr>
          <w:rFonts w:cs="ArialMT"/>
          <w:i/>
          <w:szCs w:val="24"/>
        </w:rPr>
        <w:tab/>
      </w:r>
      <w:r w:rsidR="009F727F" w:rsidRPr="00AD74C7">
        <w:rPr>
          <w:rFonts w:cs="ArialMT"/>
          <w:i/>
          <w:szCs w:val="24"/>
        </w:rPr>
        <w:tab/>
      </w:r>
      <w:r w:rsidR="007F3452" w:rsidRPr="00AD74C7">
        <w:rPr>
          <w:rFonts w:cs="ArialMT"/>
          <w:szCs w:val="24"/>
        </w:rPr>
        <w:t>(LSC, 2010:63)</w:t>
      </w:r>
    </w:p>
    <w:p w:rsidR="007F3452" w:rsidRPr="00AD74C7" w:rsidRDefault="007F3452" w:rsidP="00AD74C7">
      <w:pPr>
        <w:autoSpaceDE w:val="0"/>
        <w:autoSpaceDN w:val="0"/>
        <w:adjustRightInd w:val="0"/>
        <w:spacing w:after="0" w:line="240" w:lineRule="auto"/>
        <w:ind w:left="720"/>
        <w:rPr>
          <w:i/>
          <w:szCs w:val="24"/>
        </w:rPr>
      </w:pPr>
    </w:p>
    <w:p w:rsidR="002276C7" w:rsidRPr="00AD74C7" w:rsidRDefault="00E37F3F" w:rsidP="00AD74C7">
      <w:pPr>
        <w:spacing w:line="240" w:lineRule="auto"/>
        <w:rPr>
          <w:szCs w:val="24"/>
        </w:rPr>
      </w:pPr>
      <w:r w:rsidRPr="00AD74C7">
        <w:rPr>
          <w:szCs w:val="24"/>
        </w:rPr>
        <w:t>In other words, the numbers of learners with disabilities decreased over three years</w:t>
      </w:r>
      <w:r w:rsidRPr="00AD74C7">
        <w:rPr>
          <w:rStyle w:val="FootnoteReference"/>
          <w:szCs w:val="24"/>
        </w:rPr>
        <w:footnoteReference w:id="10"/>
      </w:r>
      <w:r w:rsidRPr="00AD74C7">
        <w:rPr>
          <w:szCs w:val="24"/>
        </w:rPr>
        <w:t>, a</w:t>
      </w:r>
      <w:r w:rsidR="007171FA" w:rsidRPr="00AD74C7">
        <w:rPr>
          <w:szCs w:val="24"/>
        </w:rPr>
        <w:t xml:space="preserve">nd it becomes clearer </w:t>
      </w:r>
      <w:r w:rsidR="007D3D9E" w:rsidRPr="00AD74C7">
        <w:rPr>
          <w:szCs w:val="24"/>
        </w:rPr>
        <w:t xml:space="preserve">from NIACE’s anecdotal evidence </w:t>
      </w:r>
      <w:r w:rsidR="007171FA" w:rsidRPr="00AD74C7">
        <w:rPr>
          <w:szCs w:val="24"/>
        </w:rPr>
        <w:t xml:space="preserve">that </w:t>
      </w:r>
      <w:r w:rsidR="002276C7" w:rsidRPr="00AD74C7">
        <w:rPr>
          <w:szCs w:val="24"/>
        </w:rPr>
        <w:t xml:space="preserve">older adults are featuring less in provision specifically for those with disabilities.  </w:t>
      </w:r>
      <w:r w:rsidR="007D3D9E" w:rsidRPr="00AD74C7">
        <w:rPr>
          <w:szCs w:val="24"/>
        </w:rPr>
        <w:t>Any</w:t>
      </w:r>
      <w:r w:rsidR="007171FA" w:rsidRPr="00AD74C7">
        <w:rPr>
          <w:szCs w:val="24"/>
        </w:rPr>
        <w:t xml:space="preserve"> reduc</w:t>
      </w:r>
      <w:r w:rsidR="007D3D9E" w:rsidRPr="00AD74C7">
        <w:rPr>
          <w:szCs w:val="24"/>
        </w:rPr>
        <w:t>tion in numbers is</w:t>
      </w:r>
      <w:r w:rsidR="002276C7" w:rsidRPr="00AD74C7">
        <w:rPr>
          <w:szCs w:val="24"/>
        </w:rPr>
        <w:t xml:space="preserve"> not in itself a problem</w:t>
      </w:r>
      <w:r w:rsidR="007D3D9E" w:rsidRPr="00AD74C7">
        <w:rPr>
          <w:szCs w:val="24"/>
        </w:rPr>
        <w:t xml:space="preserve"> – it could be caused by enabling people to move into apprenticeships or get jobs - </w:t>
      </w:r>
      <w:r w:rsidR="002276C7" w:rsidRPr="00AD74C7">
        <w:rPr>
          <w:szCs w:val="24"/>
        </w:rPr>
        <w:t>but l</w:t>
      </w:r>
      <w:r w:rsidR="007F3452" w:rsidRPr="00AD74C7">
        <w:rPr>
          <w:szCs w:val="24"/>
        </w:rPr>
        <w:t>ooked at from a greater distance, Ofsted found that patterns of participation are set in the school years</w:t>
      </w:r>
      <w:r w:rsidR="007F3452" w:rsidRPr="00AD74C7">
        <w:rPr>
          <w:rStyle w:val="FootnoteReference"/>
          <w:szCs w:val="24"/>
        </w:rPr>
        <w:footnoteReference w:id="11"/>
      </w:r>
      <w:r w:rsidR="002276C7" w:rsidRPr="00AD74C7">
        <w:rPr>
          <w:szCs w:val="24"/>
        </w:rPr>
        <w:t xml:space="preserve"> and these are a cause for concern:</w:t>
      </w:r>
    </w:p>
    <w:p w:rsidR="003D3F65" w:rsidRPr="00AD74C7" w:rsidRDefault="003D3F65" w:rsidP="00AD74C7">
      <w:pPr>
        <w:spacing w:line="240" w:lineRule="auto"/>
        <w:ind w:left="720"/>
        <w:rPr>
          <w:szCs w:val="24"/>
        </w:rPr>
      </w:pPr>
      <w:r w:rsidRPr="00AD74C7">
        <w:rPr>
          <w:i/>
          <w:szCs w:val="24"/>
        </w:rPr>
        <w:t xml:space="preserve">A recent longitudinal study reported that </w:t>
      </w:r>
      <w:r w:rsidRPr="00AD74C7">
        <w:rPr>
          <w:b/>
          <w:i/>
          <w:szCs w:val="24"/>
        </w:rPr>
        <w:t>an estimated 30% of young people who had a statement of special educational needs when they were in Year 11, and 22% of young people with a declared disability, were not in any form of education, employment or training when they reached age 18 in 2009 compared with 13% of their peers.</w:t>
      </w:r>
      <w:r w:rsidRPr="00AD74C7">
        <w:rPr>
          <w:rStyle w:val="FootnoteReference"/>
          <w:i/>
          <w:szCs w:val="24"/>
        </w:rPr>
        <w:footnoteReference w:id="12"/>
      </w:r>
      <w:r w:rsidRPr="00AD74C7">
        <w:rPr>
          <w:i/>
          <w:szCs w:val="24"/>
        </w:rPr>
        <w:t xml:space="preserve"> </w:t>
      </w:r>
      <w:r w:rsidR="007F3452" w:rsidRPr="00AD74C7">
        <w:rPr>
          <w:i/>
          <w:szCs w:val="24"/>
        </w:rPr>
        <w:t xml:space="preserve"> </w:t>
      </w:r>
      <w:r w:rsidRPr="00AD74C7">
        <w:rPr>
          <w:i/>
          <w:szCs w:val="24"/>
        </w:rPr>
        <w:t xml:space="preserve">Current figures from the Labour Force Survey show </w:t>
      </w:r>
      <w:r w:rsidR="002276C7" w:rsidRPr="00AD74C7">
        <w:rPr>
          <w:i/>
          <w:szCs w:val="24"/>
        </w:rPr>
        <w:t xml:space="preserve">that </w:t>
      </w:r>
      <w:r w:rsidRPr="00AD74C7">
        <w:rPr>
          <w:i/>
          <w:szCs w:val="24"/>
        </w:rPr>
        <w:t xml:space="preserve">for quarter 1 of 2011 </w:t>
      </w:r>
      <w:r w:rsidR="002276C7" w:rsidRPr="00AD74C7">
        <w:rPr>
          <w:i/>
          <w:szCs w:val="24"/>
        </w:rPr>
        <w:t>some</w:t>
      </w:r>
      <w:r w:rsidRPr="00AD74C7">
        <w:rPr>
          <w:i/>
          <w:szCs w:val="24"/>
        </w:rPr>
        <w:t xml:space="preserve"> 41% of men and 43% of women designated longer-term disabled were economically inactive.</w:t>
      </w:r>
      <w:r w:rsidRPr="00AD74C7">
        <w:rPr>
          <w:rStyle w:val="FootnoteReference"/>
          <w:i/>
          <w:szCs w:val="24"/>
        </w:rPr>
        <w:footnoteReference w:id="13"/>
      </w:r>
      <w:r w:rsidR="00032400" w:rsidRPr="00AD74C7">
        <w:rPr>
          <w:i/>
          <w:szCs w:val="24"/>
        </w:rPr>
        <w:tab/>
      </w:r>
      <w:r w:rsidR="002276C7" w:rsidRPr="00AD74C7">
        <w:rPr>
          <w:i/>
          <w:szCs w:val="24"/>
        </w:rPr>
        <w:tab/>
      </w:r>
      <w:r w:rsidR="002276C7" w:rsidRPr="00AD74C7">
        <w:rPr>
          <w:i/>
          <w:szCs w:val="24"/>
        </w:rPr>
        <w:tab/>
      </w:r>
      <w:r w:rsidR="002276C7" w:rsidRPr="00AD74C7">
        <w:rPr>
          <w:szCs w:val="24"/>
        </w:rPr>
        <w:t>(Ofsted, 2011:4)</w:t>
      </w:r>
    </w:p>
    <w:p w:rsidR="00C24C30" w:rsidRPr="00AD74C7" w:rsidRDefault="007F3452" w:rsidP="00AD74C7">
      <w:pPr>
        <w:spacing w:line="240" w:lineRule="auto"/>
        <w:rPr>
          <w:szCs w:val="24"/>
        </w:rPr>
      </w:pPr>
      <w:r w:rsidRPr="00AD74C7">
        <w:rPr>
          <w:szCs w:val="24"/>
        </w:rPr>
        <w:t xml:space="preserve">So participation of </w:t>
      </w:r>
      <w:r w:rsidR="002276C7" w:rsidRPr="00AD74C7">
        <w:rPr>
          <w:szCs w:val="24"/>
        </w:rPr>
        <w:t xml:space="preserve">disabled </w:t>
      </w:r>
      <w:r w:rsidRPr="00AD74C7">
        <w:rPr>
          <w:szCs w:val="24"/>
        </w:rPr>
        <w:t xml:space="preserve">adults in further education is still lower than it should </w:t>
      </w:r>
      <w:proofErr w:type="gramStart"/>
      <w:r w:rsidRPr="00AD74C7">
        <w:rPr>
          <w:szCs w:val="24"/>
        </w:rPr>
        <w:t>be</w:t>
      </w:r>
      <w:r w:rsidR="002276C7" w:rsidRPr="00AD74C7">
        <w:rPr>
          <w:szCs w:val="24"/>
        </w:rPr>
        <w:t>,</w:t>
      </w:r>
      <w:proofErr w:type="gramEnd"/>
      <w:r w:rsidR="002276C7" w:rsidRPr="00AD74C7">
        <w:rPr>
          <w:szCs w:val="24"/>
        </w:rPr>
        <w:t xml:space="preserve"> the impact socially and economically is </w:t>
      </w:r>
      <w:r w:rsidR="00566A86" w:rsidRPr="00AD74C7">
        <w:rPr>
          <w:szCs w:val="24"/>
        </w:rPr>
        <w:t xml:space="preserve">a cause for concern, and yet we have no real mechanism for finding out what happens to them after their initial education ends.  </w:t>
      </w:r>
      <w:r w:rsidR="00C24C30" w:rsidRPr="00AD74C7">
        <w:rPr>
          <w:szCs w:val="24"/>
        </w:rPr>
        <w:t>This is critically important.  As</w:t>
      </w:r>
      <w:r w:rsidR="00E37F3F" w:rsidRPr="00AD74C7">
        <w:rPr>
          <w:szCs w:val="24"/>
        </w:rPr>
        <w:t xml:space="preserve"> Yola Jacobsen</w:t>
      </w:r>
      <w:r w:rsidR="00C24C30" w:rsidRPr="00AD74C7">
        <w:rPr>
          <w:szCs w:val="24"/>
        </w:rPr>
        <w:t xml:space="preserve"> </w:t>
      </w:r>
      <w:r w:rsidR="003F1D18">
        <w:rPr>
          <w:szCs w:val="24"/>
        </w:rPr>
        <w:t xml:space="preserve">from NIACE </w:t>
      </w:r>
      <w:r w:rsidR="00C24C30" w:rsidRPr="00AD74C7">
        <w:rPr>
          <w:szCs w:val="24"/>
        </w:rPr>
        <w:t>says,</w:t>
      </w:r>
    </w:p>
    <w:p w:rsidR="00C24C30" w:rsidRPr="00AD74C7" w:rsidRDefault="00C24C30" w:rsidP="00AD74C7">
      <w:pPr>
        <w:spacing w:line="240" w:lineRule="auto"/>
        <w:ind w:left="720"/>
        <w:rPr>
          <w:szCs w:val="24"/>
        </w:rPr>
      </w:pPr>
      <w:r w:rsidRPr="00AD74C7">
        <w:rPr>
          <w:b/>
          <w:i/>
          <w:szCs w:val="24"/>
        </w:rPr>
        <w:t>‘What is not working in a big way is transition into and out of FE and if this is not right the “learning journey” is not coherent... it will not support individuals to work towards their goals and aspirations so they can lead fulfilling lives.’</w:t>
      </w:r>
      <w:r w:rsidRPr="00AD74C7">
        <w:rPr>
          <w:szCs w:val="24"/>
        </w:rPr>
        <w:t xml:space="preserve"> (Jacobsen, 2012)</w:t>
      </w:r>
      <w:r w:rsidRPr="00AD74C7">
        <w:rPr>
          <w:rStyle w:val="FootnoteReference"/>
          <w:szCs w:val="24"/>
        </w:rPr>
        <w:footnoteReference w:id="14"/>
      </w:r>
    </w:p>
    <w:p w:rsidR="007F3452" w:rsidRPr="00AD74C7" w:rsidRDefault="00566A86" w:rsidP="00AD74C7">
      <w:pPr>
        <w:spacing w:line="240" w:lineRule="auto"/>
        <w:rPr>
          <w:szCs w:val="24"/>
        </w:rPr>
      </w:pPr>
      <w:r w:rsidRPr="00AD74C7">
        <w:rPr>
          <w:szCs w:val="24"/>
        </w:rPr>
        <w:lastRenderedPageBreak/>
        <w:t xml:space="preserve">In addition, </w:t>
      </w:r>
      <w:r w:rsidR="00C24C30" w:rsidRPr="00AD74C7">
        <w:rPr>
          <w:szCs w:val="24"/>
        </w:rPr>
        <w:t xml:space="preserve">participation rises when public attention is given to it.  Yet </w:t>
      </w:r>
      <w:r w:rsidR="007F3452" w:rsidRPr="00AD74C7">
        <w:rPr>
          <w:szCs w:val="24"/>
        </w:rPr>
        <w:t>almost all the attention has been devoted to those younger people up to the age of 19</w:t>
      </w:r>
      <w:r w:rsidR="00BB3449" w:rsidRPr="00AD74C7">
        <w:rPr>
          <w:szCs w:val="24"/>
        </w:rPr>
        <w:t xml:space="preserve">.  As </w:t>
      </w:r>
      <w:r w:rsidR="007171FA" w:rsidRPr="00AD74C7">
        <w:rPr>
          <w:szCs w:val="24"/>
        </w:rPr>
        <w:t>Ofsted</w:t>
      </w:r>
      <w:r w:rsidR="00BB3449" w:rsidRPr="00AD74C7">
        <w:rPr>
          <w:szCs w:val="24"/>
        </w:rPr>
        <w:t xml:space="preserve"> (</w:t>
      </w:r>
      <w:r w:rsidR="007171FA" w:rsidRPr="00AD74C7">
        <w:rPr>
          <w:szCs w:val="24"/>
        </w:rPr>
        <w:t>2010</w:t>
      </w:r>
      <w:r w:rsidR="0053054F" w:rsidRPr="00AD74C7">
        <w:rPr>
          <w:szCs w:val="24"/>
        </w:rPr>
        <w:t>)</w:t>
      </w:r>
      <w:r w:rsidR="00BB3449" w:rsidRPr="00AD74C7">
        <w:rPr>
          <w:szCs w:val="24"/>
        </w:rPr>
        <w:t xml:space="preserve"> says</w:t>
      </w:r>
      <w:r w:rsidR="0053054F" w:rsidRPr="00AD74C7">
        <w:rPr>
          <w:szCs w:val="24"/>
        </w:rPr>
        <w:t>:</w:t>
      </w:r>
      <w:r w:rsidR="007171FA" w:rsidRPr="00AD74C7">
        <w:rPr>
          <w:szCs w:val="24"/>
        </w:rPr>
        <w:t xml:space="preserve"> </w:t>
      </w:r>
    </w:p>
    <w:p w:rsidR="00972565" w:rsidRPr="00AD74C7" w:rsidRDefault="005D5B52" w:rsidP="00AD74C7">
      <w:pPr>
        <w:pStyle w:val="Bulletskeyfindings-lastbullet"/>
        <w:numPr>
          <w:ilvl w:val="0"/>
          <w:numId w:val="0"/>
        </w:numPr>
        <w:ind w:left="720"/>
        <w:rPr>
          <w:rFonts w:ascii="Trebuchet MS" w:hAnsi="Trebuchet MS"/>
        </w:rPr>
      </w:pPr>
      <w:r w:rsidRPr="00AD74C7">
        <w:rPr>
          <w:rFonts w:ascii="Trebuchet MS" w:hAnsi="Trebuchet MS"/>
          <w:i/>
        </w:rPr>
        <w:t>‘</w:t>
      </w:r>
      <w:r w:rsidR="00972565" w:rsidRPr="00AD74C7">
        <w:rPr>
          <w:rFonts w:ascii="Trebuchet MS" w:hAnsi="Trebuchet MS"/>
          <w:b/>
          <w:i/>
        </w:rPr>
        <w:t>Too little is known about the dest</w:t>
      </w:r>
      <w:r w:rsidR="00972565" w:rsidRPr="00AD74C7">
        <w:rPr>
          <w:rStyle w:val="Bulletskeyfindings-lastbulletChar"/>
          <w:rFonts w:ascii="Trebuchet MS" w:hAnsi="Trebuchet MS"/>
          <w:b/>
          <w:i/>
        </w:rPr>
        <w:t>inations of learners once they leave post-16 provision</w:t>
      </w:r>
      <w:r w:rsidR="00972565" w:rsidRPr="00AD74C7">
        <w:rPr>
          <w:rFonts w:ascii="Trebuchet MS" w:hAnsi="Trebuchet MS"/>
          <w:b/>
          <w:i/>
        </w:rPr>
        <w:t>, particularly once they reach the age of 19 or 20.</w:t>
      </w:r>
      <w:r w:rsidR="00972565" w:rsidRPr="00AD74C7">
        <w:rPr>
          <w:rFonts w:ascii="Trebuchet MS" w:hAnsi="Trebuchet MS"/>
          <w:i/>
        </w:rPr>
        <w:t xml:space="preserve"> The providers visited were beginning to collect destination information, but funding agencies and local authorities did not have systematic procedures to collect this data to monitor the effectiveness of this provision in supporting progression</w:t>
      </w:r>
      <w:r w:rsidR="00972565" w:rsidRPr="00AD74C7">
        <w:rPr>
          <w:rFonts w:ascii="Trebuchet MS" w:hAnsi="Trebuchet MS"/>
        </w:rPr>
        <w:t>.</w:t>
      </w:r>
      <w:r w:rsidRPr="00AD74C7">
        <w:rPr>
          <w:rFonts w:ascii="Trebuchet MS" w:hAnsi="Trebuchet MS"/>
        </w:rPr>
        <w:t xml:space="preserve">’ </w:t>
      </w:r>
      <w:r w:rsidRPr="00AD74C7">
        <w:rPr>
          <w:rFonts w:ascii="Trebuchet MS" w:hAnsi="Trebuchet MS"/>
        </w:rPr>
        <w:tab/>
      </w:r>
      <w:r w:rsidRPr="00AD74C7">
        <w:rPr>
          <w:rFonts w:ascii="Trebuchet MS" w:hAnsi="Trebuchet MS"/>
        </w:rPr>
        <w:tab/>
      </w:r>
      <w:r w:rsidRPr="00AD74C7">
        <w:rPr>
          <w:rFonts w:ascii="Trebuchet MS" w:hAnsi="Trebuchet MS"/>
        </w:rPr>
        <w:tab/>
      </w:r>
      <w:r w:rsidRPr="00AD74C7">
        <w:rPr>
          <w:rFonts w:ascii="Trebuchet MS" w:hAnsi="Trebuchet MS"/>
        </w:rPr>
        <w:tab/>
      </w:r>
      <w:r w:rsidRPr="00AD74C7">
        <w:rPr>
          <w:rFonts w:ascii="Trebuchet MS" w:hAnsi="Trebuchet MS"/>
        </w:rPr>
        <w:tab/>
        <w:t>(Ofsted, 2011:8)</w:t>
      </w:r>
      <w:r w:rsidR="00972565" w:rsidRPr="00AD74C7">
        <w:rPr>
          <w:rFonts w:ascii="Trebuchet MS" w:hAnsi="Trebuchet MS"/>
        </w:rPr>
        <w:t xml:space="preserve"> </w:t>
      </w:r>
    </w:p>
    <w:p w:rsidR="00CA67DD" w:rsidRPr="00AD74C7" w:rsidRDefault="00032400" w:rsidP="00AD74C7">
      <w:pPr>
        <w:spacing w:line="240" w:lineRule="auto"/>
        <w:rPr>
          <w:szCs w:val="24"/>
          <w:lang w:eastAsia="en-GB"/>
        </w:rPr>
      </w:pPr>
      <w:r w:rsidRPr="00AD74C7">
        <w:rPr>
          <w:szCs w:val="24"/>
          <w:lang w:eastAsia="en-GB"/>
        </w:rPr>
        <w:t xml:space="preserve">This is a key concern.  What happens to people and why don’t we know?  This is a subject for greater research indeed.  </w:t>
      </w:r>
      <w:r w:rsidR="00CA67DD" w:rsidRPr="00AD74C7">
        <w:rPr>
          <w:szCs w:val="24"/>
          <w:lang w:eastAsia="en-GB"/>
        </w:rPr>
        <w:t>And age divisions continue</w:t>
      </w:r>
      <w:r w:rsidRPr="00AD74C7">
        <w:rPr>
          <w:szCs w:val="24"/>
          <w:lang w:eastAsia="en-GB"/>
        </w:rPr>
        <w:t xml:space="preserve"> too</w:t>
      </w:r>
      <w:r w:rsidR="00CA67DD" w:rsidRPr="00AD74C7">
        <w:rPr>
          <w:szCs w:val="24"/>
          <w:lang w:eastAsia="en-GB"/>
        </w:rPr>
        <w:t xml:space="preserve">.  It seems extraordinary to me that a Government can produce a </w:t>
      </w:r>
      <w:r w:rsidR="00BB3449" w:rsidRPr="00AD74C7">
        <w:rPr>
          <w:szCs w:val="24"/>
          <w:lang w:eastAsia="en-GB"/>
        </w:rPr>
        <w:t xml:space="preserve">recent </w:t>
      </w:r>
      <w:r w:rsidR="00CA67DD" w:rsidRPr="00AD74C7">
        <w:rPr>
          <w:szCs w:val="24"/>
          <w:lang w:eastAsia="en-GB"/>
        </w:rPr>
        <w:t>Green Paper on special educational needs and disability and give no thought in it to those over the age of 25 and very little to those over 19 years (DfE, 2011)</w:t>
      </w:r>
      <w:r w:rsidR="00CA67DD" w:rsidRPr="00AD74C7">
        <w:rPr>
          <w:rStyle w:val="FootnoteReference"/>
          <w:szCs w:val="24"/>
          <w:lang w:eastAsia="en-GB"/>
        </w:rPr>
        <w:footnoteReference w:id="15"/>
      </w:r>
      <w:r w:rsidR="00CA67DD" w:rsidRPr="00AD74C7">
        <w:rPr>
          <w:szCs w:val="24"/>
          <w:lang w:eastAsia="en-GB"/>
        </w:rPr>
        <w:t xml:space="preserve">.  </w:t>
      </w:r>
    </w:p>
    <w:p w:rsidR="007D3D9E" w:rsidRPr="00AD74C7" w:rsidRDefault="007D3D9E" w:rsidP="00AD74C7">
      <w:pPr>
        <w:spacing w:line="240" w:lineRule="auto"/>
        <w:rPr>
          <w:szCs w:val="24"/>
          <w:lang w:eastAsia="en-GB"/>
        </w:rPr>
      </w:pPr>
      <w:r w:rsidRPr="00AD74C7">
        <w:rPr>
          <w:szCs w:val="24"/>
          <w:lang w:eastAsia="en-GB"/>
        </w:rPr>
        <w:t>The concerns in the Tomlinson Report focused largely on specific grou</w:t>
      </w:r>
      <w:r w:rsidR="0053054F" w:rsidRPr="00AD74C7">
        <w:rPr>
          <w:szCs w:val="24"/>
          <w:lang w:eastAsia="en-GB"/>
        </w:rPr>
        <w:t>p</w:t>
      </w:r>
      <w:r w:rsidRPr="00AD74C7">
        <w:rPr>
          <w:szCs w:val="24"/>
          <w:lang w:eastAsia="en-GB"/>
        </w:rPr>
        <w:t>s of learners who were ‘</w:t>
      </w:r>
      <w:r w:rsidRPr="00AD74C7">
        <w:rPr>
          <w:i/>
          <w:szCs w:val="24"/>
          <w:lang w:eastAsia="en-GB"/>
        </w:rPr>
        <w:t xml:space="preserve">not yet properly represented in further education’ </w:t>
      </w:r>
      <w:r w:rsidRPr="00AD74C7">
        <w:rPr>
          <w:szCs w:val="24"/>
          <w:lang w:eastAsia="en-GB"/>
        </w:rPr>
        <w:t>(Tomlinson, 1996:17).  They included</w:t>
      </w:r>
      <w:r w:rsidR="00C24C30" w:rsidRPr="00AD74C7">
        <w:rPr>
          <w:szCs w:val="24"/>
          <w:lang w:eastAsia="en-GB"/>
        </w:rPr>
        <w:t>,</w:t>
      </w:r>
      <w:r w:rsidRPr="00AD74C7">
        <w:rPr>
          <w:szCs w:val="24"/>
          <w:lang w:eastAsia="en-GB"/>
        </w:rPr>
        <w:t xml:space="preserve"> </w:t>
      </w:r>
    </w:p>
    <w:p w:rsidR="00972565" w:rsidRPr="00AD74C7" w:rsidRDefault="007D3D9E" w:rsidP="00AD74C7">
      <w:pPr>
        <w:pStyle w:val="ListParagraph"/>
        <w:numPr>
          <w:ilvl w:val="0"/>
          <w:numId w:val="8"/>
        </w:numPr>
        <w:spacing w:line="240" w:lineRule="auto"/>
        <w:ind w:firstLine="0"/>
        <w:rPr>
          <w:b/>
          <w:i/>
          <w:szCs w:val="24"/>
          <w:lang w:eastAsia="en-GB"/>
        </w:rPr>
      </w:pPr>
      <w:r w:rsidRPr="00AD74C7">
        <w:rPr>
          <w:b/>
          <w:i/>
          <w:szCs w:val="24"/>
          <w:lang w:eastAsia="en-GB"/>
        </w:rPr>
        <w:t>young people with emotional and behavioural difficulties, some of whom will have been excluded from school or excluded themselves from school</w:t>
      </w:r>
    </w:p>
    <w:p w:rsidR="007D3D9E" w:rsidRPr="00AD74C7" w:rsidRDefault="007D3D9E" w:rsidP="00AD74C7">
      <w:pPr>
        <w:pStyle w:val="ListParagraph"/>
        <w:numPr>
          <w:ilvl w:val="0"/>
          <w:numId w:val="8"/>
        </w:numPr>
        <w:spacing w:line="240" w:lineRule="auto"/>
        <w:ind w:firstLine="0"/>
        <w:rPr>
          <w:b/>
          <w:i/>
          <w:szCs w:val="24"/>
          <w:lang w:eastAsia="en-GB"/>
        </w:rPr>
      </w:pPr>
      <w:proofErr w:type="gramStart"/>
      <w:r w:rsidRPr="00AD74C7">
        <w:rPr>
          <w:b/>
          <w:i/>
          <w:szCs w:val="24"/>
          <w:lang w:eastAsia="en-GB"/>
        </w:rPr>
        <w:t>adults</w:t>
      </w:r>
      <w:proofErr w:type="gramEnd"/>
      <w:r w:rsidRPr="00AD74C7">
        <w:rPr>
          <w:b/>
          <w:i/>
          <w:szCs w:val="24"/>
          <w:lang w:eastAsia="en-GB"/>
        </w:rPr>
        <w:t xml:space="preserve"> with mental health difficulties..</w:t>
      </w:r>
    </w:p>
    <w:p w:rsidR="007D3D9E" w:rsidRPr="00AD74C7" w:rsidRDefault="007D3D9E" w:rsidP="00AD74C7">
      <w:pPr>
        <w:pStyle w:val="ListParagraph"/>
        <w:numPr>
          <w:ilvl w:val="0"/>
          <w:numId w:val="8"/>
        </w:numPr>
        <w:spacing w:line="240" w:lineRule="auto"/>
        <w:ind w:firstLine="0"/>
        <w:rPr>
          <w:b/>
          <w:i/>
          <w:szCs w:val="24"/>
          <w:lang w:eastAsia="en-GB"/>
        </w:rPr>
      </w:pPr>
      <w:proofErr w:type="gramStart"/>
      <w:r w:rsidRPr="00AD74C7">
        <w:rPr>
          <w:b/>
          <w:i/>
          <w:szCs w:val="24"/>
          <w:lang w:eastAsia="en-GB"/>
        </w:rPr>
        <w:t>people</w:t>
      </w:r>
      <w:proofErr w:type="gramEnd"/>
      <w:r w:rsidRPr="00AD74C7">
        <w:rPr>
          <w:b/>
          <w:i/>
          <w:szCs w:val="24"/>
          <w:lang w:eastAsia="en-GB"/>
        </w:rPr>
        <w:t xml:space="preserve"> with profound and multiple learning difficulties..’</w:t>
      </w:r>
    </w:p>
    <w:p w:rsidR="00032400" w:rsidRPr="00AD74C7" w:rsidRDefault="007D3D9E" w:rsidP="00AD74C7">
      <w:pPr>
        <w:spacing w:line="240" w:lineRule="auto"/>
        <w:rPr>
          <w:szCs w:val="24"/>
          <w:lang w:eastAsia="en-GB"/>
        </w:rPr>
      </w:pPr>
      <w:r w:rsidRPr="00AD74C7">
        <w:rPr>
          <w:szCs w:val="24"/>
          <w:lang w:eastAsia="en-GB"/>
        </w:rPr>
        <w:t xml:space="preserve">Each of these categories is still a major cause </w:t>
      </w:r>
      <w:r w:rsidR="00C24C30" w:rsidRPr="00AD74C7">
        <w:rPr>
          <w:szCs w:val="24"/>
          <w:lang w:eastAsia="en-GB"/>
        </w:rPr>
        <w:t>of</w:t>
      </w:r>
      <w:r w:rsidRPr="00AD74C7">
        <w:rPr>
          <w:szCs w:val="24"/>
          <w:lang w:eastAsia="en-GB"/>
        </w:rPr>
        <w:t xml:space="preserve"> concern for different reasons.  </w:t>
      </w:r>
      <w:r w:rsidR="00AD34C8" w:rsidRPr="00AD74C7">
        <w:rPr>
          <w:szCs w:val="24"/>
          <w:lang w:eastAsia="en-GB"/>
        </w:rPr>
        <w:t xml:space="preserve">If about a third of pupils with evident disabilities are not in employment, education or training what future might they have?  Significant among them will be those with emotional and behavioural difficulties for whom school was not a thrilling experience (Ofsted, 2010:5).  </w:t>
      </w:r>
    </w:p>
    <w:p w:rsidR="00032400" w:rsidRPr="00AD74C7" w:rsidRDefault="00AD34C8" w:rsidP="00AD74C7">
      <w:pPr>
        <w:spacing w:line="240" w:lineRule="auto"/>
        <w:rPr>
          <w:szCs w:val="24"/>
          <w:lang w:eastAsia="en-GB"/>
        </w:rPr>
      </w:pPr>
      <w:r w:rsidRPr="00AD74C7">
        <w:rPr>
          <w:szCs w:val="24"/>
          <w:lang w:eastAsia="en-GB"/>
        </w:rPr>
        <w:t>In spite of the excellent work done by many colleges and adult education providers, a</w:t>
      </w:r>
      <w:r w:rsidR="007D3D9E" w:rsidRPr="00AD74C7">
        <w:rPr>
          <w:szCs w:val="24"/>
          <w:lang w:eastAsia="en-GB"/>
        </w:rPr>
        <w:t xml:space="preserve">dults with mental health difficulties, unless they are following accredited programmes are unlikely to be a priority in the new ‘freed-up’ further education system.  </w:t>
      </w:r>
    </w:p>
    <w:p w:rsidR="007D3D9E" w:rsidRPr="00AD74C7" w:rsidRDefault="007D3D9E" w:rsidP="00AD74C7">
      <w:pPr>
        <w:spacing w:line="240" w:lineRule="auto"/>
        <w:rPr>
          <w:szCs w:val="24"/>
          <w:lang w:eastAsia="en-GB"/>
        </w:rPr>
      </w:pPr>
      <w:r w:rsidRPr="00AD74C7">
        <w:rPr>
          <w:szCs w:val="24"/>
          <w:lang w:eastAsia="en-GB"/>
        </w:rPr>
        <w:t xml:space="preserve">Adults with the most complex learning difficulties, likely to be </w:t>
      </w:r>
      <w:r w:rsidR="00AD34C8" w:rsidRPr="00AD74C7">
        <w:rPr>
          <w:szCs w:val="24"/>
          <w:lang w:eastAsia="en-GB"/>
        </w:rPr>
        <w:t xml:space="preserve">legally </w:t>
      </w:r>
      <w:r w:rsidRPr="00AD74C7">
        <w:rPr>
          <w:szCs w:val="24"/>
          <w:lang w:eastAsia="en-GB"/>
        </w:rPr>
        <w:t>‘protected’ by the statementing process</w:t>
      </w:r>
      <w:r w:rsidR="00786D64" w:rsidRPr="00AD74C7">
        <w:rPr>
          <w:szCs w:val="24"/>
          <w:lang w:eastAsia="en-GB"/>
        </w:rPr>
        <w:t xml:space="preserve"> while at school and later on by</w:t>
      </w:r>
      <w:r w:rsidR="00AD34C8" w:rsidRPr="00AD74C7">
        <w:rPr>
          <w:szCs w:val="24"/>
          <w:lang w:eastAsia="en-GB"/>
        </w:rPr>
        <w:t xml:space="preserve"> local authority and Young People’s Learning Agency</w:t>
      </w:r>
      <w:r w:rsidR="00786D64" w:rsidRPr="00AD74C7">
        <w:rPr>
          <w:szCs w:val="24"/>
          <w:lang w:eastAsia="en-GB"/>
        </w:rPr>
        <w:t xml:space="preserve"> interventions, will have little protection beyond the age of 25.  Beyond this age they cease to be a priority in the education system.</w:t>
      </w:r>
    </w:p>
    <w:p w:rsidR="00E51989" w:rsidRPr="00AD74C7" w:rsidRDefault="00E51989" w:rsidP="00AD74C7">
      <w:pPr>
        <w:spacing w:line="240" w:lineRule="auto"/>
        <w:rPr>
          <w:szCs w:val="24"/>
          <w:lang w:eastAsia="en-GB"/>
        </w:rPr>
      </w:pPr>
      <w:r w:rsidRPr="00AD74C7">
        <w:rPr>
          <w:szCs w:val="24"/>
          <w:lang w:eastAsia="en-GB"/>
        </w:rPr>
        <w:t xml:space="preserve">I should mention here that we have made some progress thanks to </w:t>
      </w:r>
      <w:r w:rsidRPr="00AD74C7">
        <w:rPr>
          <w:i/>
          <w:szCs w:val="24"/>
          <w:lang w:eastAsia="en-GB"/>
        </w:rPr>
        <w:t xml:space="preserve">Valuing People </w:t>
      </w:r>
      <w:r w:rsidRPr="00AD74C7">
        <w:rPr>
          <w:szCs w:val="24"/>
          <w:lang w:eastAsia="en-GB"/>
        </w:rPr>
        <w:t>(2001)</w:t>
      </w:r>
      <w:r w:rsidRPr="00AD74C7">
        <w:rPr>
          <w:rStyle w:val="FootnoteReference"/>
          <w:i/>
          <w:szCs w:val="24"/>
          <w:lang w:eastAsia="en-GB"/>
        </w:rPr>
        <w:footnoteReference w:id="16"/>
      </w:r>
      <w:r w:rsidR="00C30980" w:rsidRPr="00AD74C7">
        <w:rPr>
          <w:szCs w:val="24"/>
          <w:lang w:eastAsia="en-GB"/>
        </w:rPr>
        <w:t>,</w:t>
      </w:r>
      <w:r w:rsidRPr="00AD74C7">
        <w:rPr>
          <w:szCs w:val="24"/>
          <w:lang w:eastAsia="en-GB"/>
        </w:rPr>
        <w:t xml:space="preserve"> the Learning and Skills Council’s </w:t>
      </w:r>
      <w:r w:rsidRPr="00AD74C7">
        <w:rPr>
          <w:i/>
          <w:szCs w:val="24"/>
          <w:lang w:eastAsia="en-GB"/>
        </w:rPr>
        <w:t xml:space="preserve">Mental Health </w:t>
      </w:r>
      <w:proofErr w:type="gramStart"/>
      <w:r w:rsidRPr="00AD74C7">
        <w:rPr>
          <w:i/>
          <w:szCs w:val="24"/>
          <w:lang w:eastAsia="en-GB"/>
        </w:rPr>
        <w:t>Strategy</w:t>
      </w:r>
      <w:r w:rsidR="00AD74C7">
        <w:rPr>
          <w:szCs w:val="24"/>
          <w:lang w:eastAsia="en-GB"/>
        </w:rPr>
        <w:t>(</w:t>
      </w:r>
      <w:proofErr w:type="gramEnd"/>
      <w:r w:rsidR="00AD74C7">
        <w:rPr>
          <w:szCs w:val="24"/>
          <w:lang w:eastAsia="en-GB"/>
        </w:rPr>
        <w:t>2006/2009)</w:t>
      </w:r>
      <w:r w:rsidR="00C30980" w:rsidRPr="00AD74C7">
        <w:rPr>
          <w:rStyle w:val="FootnoteReference"/>
          <w:i/>
          <w:szCs w:val="24"/>
          <w:lang w:eastAsia="en-GB"/>
        </w:rPr>
        <w:footnoteReference w:id="17"/>
      </w:r>
      <w:r w:rsidR="00C30980" w:rsidRPr="00AD74C7">
        <w:rPr>
          <w:i/>
          <w:szCs w:val="24"/>
          <w:lang w:eastAsia="en-GB"/>
        </w:rPr>
        <w:t xml:space="preserve"> </w:t>
      </w:r>
      <w:r w:rsidR="00C30980" w:rsidRPr="00AD74C7">
        <w:rPr>
          <w:szCs w:val="24"/>
          <w:lang w:eastAsia="en-GB"/>
        </w:rPr>
        <w:lastRenderedPageBreak/>
        <w:t>and the new Department of Health strategy on mental health</w:t>
      </w:r>
      <w:r w:rsidR="00AD74C7">
        <w:rPr>
          <w:szCs w:val="24"/>
          <w:lang w:eastAsia="en-GB"/>
        </w:rPr>
        <w:t xml:space="preserve"> (2011)</w:t>
      </w:r>
      <w:r w:rsidR="00C30980" w:rsidRPr="00AD74C7">
        <w:rPr>
          <w:rStyle w:val="FootnoteReference"/>
          <w:szCs w:val="24"/>
          <w:lang w:eastAsia="en-GB"/>
        </w:rPr>
        <w:footnoteReference w:id="18"/>
      </w:r>
      <w:r w:rsidRPr="00AD74C7">
        <w:rPr>
          <w:i/>
          <w:szCs w:val="24"/>
          <w:lang w:eastAsia="en-GB"/>
        </w:rPr>
        <w:t xml:space="preserve">.  </w:t>
      </w:r>
      <w:r w:rsidRPr="00AD74C7">
        <w:rPr>
          <w:szCs w:val="24"/>
          <w:lang w:eastAsia="en-GB"/>
        </w:rPr>
        <w:t xml:space="preserve">I have great doubts however whether these </w:t>
      </w:r>
      <w:r w:rsidR="00C30980" w:rsidRPr="00AD74C7">
        <w:rPr>
          <w:szCs w:val="24"/>
          <w:lang w:eastAsia="en-GB"/>
        </w:rPr>
        <w:t xml:space="preserve">adult </w:t>
      </w:r>
      <w:r w:rsidRPr="00AD74C7">
        <w:rPr>
          <w:szCs w:val="24"/>
          <w:lang w:eastAsia="en-GB"/>
        </w:rPr>
        <w:t>learners will remain a priority now</w:t>
      </w:r>
      <w:r w:rsidR="00BB3449" w:rsidRPr="00AD74C7">
        <w:rPr>
          <w:szCs w:val="24"/>
          <w:lang w:eastAsia="en-GB"/>
        </w:rPr>
        <w:t>,</w:t>
      </w:r>
      <w:r w:rsidRPr="00AD74C7">
        <w:rPr>
          <w:szCs w:val="24"/>
          <w:lang w:eastAsia="en-GB"/>
        </w:rPr>
        <w:t xml:space="preserve"> given th</w:t>
      </w:r>
      <w:r w:rsidR="00C30980" w:rsidRPr="00AD74C7">
        <w:rPr>
          <w:szCs w:val="24"/>
          <w:lang w:eastAsia="en-GB"/>
        </w:rPr>
        <w:t>e</w:t>
      </w:r>
      <w:r w:rsidRPr="00AD74C7">
        <w:rPr>
          <w:szCs w:val="24"/>
          <w:lang w:eastAsia="en-GB"/>
        </w:rPr>
        <w:t xml:space="preserve"> focus on the young and on skills.</w:t>
      </w:r>
    </w:p>
    <w:p w:rsidR="00786D64" w:rsidRPr="00AD74C7" w:rsidRDefault="00786D64" w:rsidP="00AD74C7">
      <w:pPr>
        <w:spacing w:line="240" w:lineRule="auto"/>
        <w:rPr>
          <w:szCs w:val="24"/>
          <w:lang w:eastAsia="en-GB"/>
        </w:rPr>
      </w:pPr>
      <w:r w:rsidRPr="00AD74C7">
        <w:rPr>
          <w:szCs w:val="24"/>
          <w:lang w:eastAsia="en-GB"/>
        </w:rPr>
        <w:t xml:space="preserve">What is common to this bleak view of the situation as I see it is the complete lack of any legal entitlement, public investigation or political commitment to the education of anyone with a disability over the statutory </w:t>
      </w:r>
      <w:proofErr w:type="gramStart"/>
      <w:r w:rsidRPr="00AD74C7">
        <w:rPr>
          <w:szCs w:val="24"/>
          <w:lang w:eastAsia="en-GB"/>
        </w:rPr>
        <w:t>ages.</w:t>
      </w:r>
      <w:proofErr w:type="gramEnd"/>
      <w:r w:rsidR="00C24C30" w:rsidRPr="00AD74C7">
        <w:rPr>
          <w:szCs w:val="24"/>
          <w:lang w:eastAsia="en-GB"/>
        </w:rPr>
        <w:t xml:space="preserve">  In addition, the State makes it harder for anyone over the age of 19 with a disability to study at all.  Those over 19 claiming benefit can sometimes not claim fee remission which means that fees become a significant problem, particularly for </w:t>
      </w:r>
      <w:r w:rsidR="00BB3449" w:rsidRPr="00AD74C7">
        <w:rPr>
          <w:szCs w:val="24"/>
          <w:lang w:eastAsia="en-GB"/>
        </w:rPr>
        <w:t>lower income</w:t>
      </w:r>
      <w:r w:rsidR="00C24C30" w:rsidRPr="00AD74C7">
        <w:rPr>
          <w:szCs w:val="24"/>
          <w:lang w:eastAsia="en-GB"/>
        </w:rPr>
        <w:t xml:space="preserve"> families. We wai</w:t>
      </w:r>
      <w:r w:rsidR="00E37F3F" w:rsidRPr="00AD74C7">
        <w:rPr>
          <w:szCs w:val="24"/>
          <w:lang w:eastAsia="en-GB"/>
        </w:rPr>
        <w:t>t in trepidation to see what</w:t>
      </w:r>
      <w:r w:rsidR="00C24C30" w:rsidRPr="00AD74C7">
        <w:rPr>
          <w:szCs w:val="24"/>
          <w:lang w:eastAsia="en-GB"/>
        </w:rPr>
        <w:t xml:space="preserve"> impact </w:t>
      </w:r>
      <w:r w:rsidR="00621F83" w:rsidRPr="00AD74C7">
        <w:rPr>
          <w:szCs w:val="24"/>
          <w:lang w:eastAsia="en-GB"/>
        </w:rPr>
        <w:t>the</w:t>
      </w:r>
      <w:r w:rsidR="00C24C30" w:rsidRPr="00AD74C7">
        <w:rPr>
          <w:szCs w:val="24"/>
          <w:lang w:eastAsia="en-GB"/>
        </w:rPr>
        <w:t xml:space="preserve"> fee changes will have.</w:t>
      </w:r>
    </w:p>
    <w:p w:rsidR="00786D64" w:rsidRPr="00AD74C7" w:rsidRDefault="00786D64" w:rsidP="00AD74C7">
      <w:pPr>
        <w:spacing w:line="240" w:lineRule="auto"/>
        <w:rPr>
          <w:szCs w:val="24"/>
          <w:lang w:eastAsia="en-GB"/>
        </w:rPr>
      </w:pPr>
    </w:p>
    <w:p w:rsidR="00786D64" w:rsidRPr="00AD74C7" w:rsidRDefault="00786D64" w:rsidP="00AD74C7">
      <w:pPr>
        <w:spacing w:line="240" w:lineRule="auto"/>
        <w:rPr>
          <w:b/>
          <w:szCs w:val="24"/>
          <w:lang w:eastAsia="en-GB"/>
        </w:rPr>
      </w:pPr>
      <w:r w:rsidRPr="00AD74C7">
        <w:rPr>
          <w:b/>
          <w:szCs w:val="24"/>
          <w:lang w:eastAsia="en-GB"/>
        </w:rPr>
        <w:t>So what is to be done?</w:t>
      </w:r>
    </w:p>
    <w:p w:rsidR="003F1D18" w:rsidRDefault="00786D64" w:rsidP="00AD74C7">
      <w:pPr>
        <w:spacing w:line="240" w:lineRule="auto"/>
        <w:rPr>
          <w:szCs w:val="24"/>
          <w:lang w:eastAsia="en-GB"/>
        </w:rPr>
      </w:pPr>
      <w:r w:rsidRPr="00AD74C7">
        <w:rPr>
          <w:szCs w:val="24"/>
          <w:lang w:eastAsia="en-GB"/>
        </w:rPr>
        <w:t xml:space="preserve">Conscious that we have been here before, many times, I return to the last national review of this area, chaired by Peter Little (LSC, 2005).  The </w:t>
      </w:r>
      <w:r w:rsidR="00561267" w:rsidRPr="00AD74C7">
        <w:rPr>
          <w:szCs w:val="24"/>
          <w:lang w:eastAsia="en-GB"/>
        </w:rPr>
        <w:t xml:space="preserve">main </w:t>
      </w:r>
      <w:r w:rsidR="00AD74C7">
        <w:rPr>
          <w:szCs w:val="24"/>
          <w:lang w:eastAsia="en-GB"/>
        </w:rPr>
        <w:t>r</w:t>
      </w:r>
      <w:r w:rsidRPr="00AD74C7">
        <w:rPr>
          <w:szCs w:val="24"/>
          <w:lang w:eastAsia="en-GB"/>
        </w:rPr>
        <w:t xml:space="preserve">ecommendation </w:t>
      </w:r>
      <w:r w:rsidR="00AB314C" w:rsidRPr="00AD74C7">
        <w:rPr>
          <w:szCs w:val="24"/>
          <w:lang w:eastAsia="en-GB"/>
        </w:rPr>
        <w:t xml:space="preserve">of </w:t>
      </w:r>
      <w:r w:rsidR="00AB314C" w:rsidRPr="00AD74C7">
        <w:rPr>
          <w:i/>
          <w:szCs w:val="24"/>
          <w:lang w:eastAsia="en-GB"/>
        </w:rPr>
        <w:t xml:space="preserve">Through Inclusion to Excellence </w:t>
      </w:r>
      <w:r w:rsidRPr="00AD74C7">
        <w:rPr>
          <w:szCs w:val="24"/>
          <w:lang w:eastAsia="en-GB"/>
        </w:rPr>
        <w:t xml:space="preserve">in 2005 </w:t>
      </w:r>
      <w:r w:rsidR="00561267" w:rsidRPr="00AD74C7">
        <w:rPr>
          <w:szCs w:val="24"/>
          <w:lang w:eastAsia="en-GB"/>
        </w:rPr>
        <w:t>said that we needed</w:t>
      </w:r>
      <w:r w:rsidRPr="00AD74C7">
        <w:rPr>
          <w:szCs w:val="24"/>
          <w:lang w:eastAsia="en-GB"/>
        </w:rPr>
        <w:t>,</w:t>
      </w:r>
    </w:p>
    <w:p w:rsidR="00786D64" w:rsidRPr="00AD74C7" w:rsidRDefault="00AD74C7" w:rsidP="00AD74C7">
      <w:pPr>
        <w:spacing w:line="240" w:lineRule="auto"/>
        <w:rPr>
          <w:rFonts w:cs="Bliss-Bold"/>
          <w:bCs/>
          <w:i/>
          <w:szCs w:val="24"/>
        </w:rPr>
      </w:pPr>
      <w:r>
        <w:rPr>
          <w:szCs w:val="24"/>
          <w:lang w:eastAsia="en-GB"/>
        </w:rPr>
        <w:t xml:space="preserve"> </w:t>
      </w:r>
      <w:r w:rsidR="003F1D18">
        <w:rPr>
          <w:szCs w:val="24"/>
          <w:lang w:eastAsia="en-GB"/>
        </w:rPr>
        <w:tab/>
      </w:r>
      <w:r w:rsidR="00AB314C" w:rsidRPr="00AD74C7">
        <w:rPr>
          <w:rFonts w:cs="Bliss-Bold"/>
          <w:bCs/>
          <w:i/>
          <w:szCs w:val="24"/>
        </w:rPr>
        <w:t>‘...</w:t>
      </w:r>
      <w:r>
        <w:rPr>
          <w:rFonts w:cs="Bliss-Bold"/>
          <w:b/>
          <w:bCs/>
          <w:i/>
          <w:szCs w:val="24"/>
        </w:rPr>
        <w:t>a national strateg</w:t>
      </w:r>
      <w:r w:rsidR="003F1D18">
        <w:rPr>
          <w:rFonts w:cs="Bliss-Bold"/>
          <w:b/>
          <w:bCs/>
          <w:i/>
          <w:szCs w:val="24"/>
        </w:rPr>
        <w:t>y</w:t>
      </w:r>
      <w:r>
        <w:rPr>
          <w:rFonts w:cs="Bliss-Bold"/>
          <w:b/>
          <w:bCs/>
          <w:i/>
          <w:szCs w:val="24"/>
        </w:rPr>
        <w:t>...</w:t>
      </w:r>
      <w:r w:rsidR="00786D64" w:rsidRPr="00AD74C7">
        <w:rPr>
          <w:rFonts w:cs="Bliss-Bold"/>
          <w:bCs/>
          <w:i/>
          <w:szCs w:val="24"/>
        </w:rPr>
        <w:t xml:space="preserve"> </w:t>
      </w:r>
      <w:r w:rsidR="00786D64" w:rsidRPr="00AD74C7">
        <w:rPr>
          <w:rFonts w:cs="Bliss-Bold"/>
          <w:b/>
          <w:bCs/>
          <w:i/>
          <w:szCs w:val="24"/>
        </w:rPr>
        <w:t xml:space="preserve">across the post-16 learning and skills sector </w:t>
      </w:r>
      <w:r w:rsidR="003F1D18">
        <w:rPr>
          <w:rFonts w:cs="Bliss-Bold"/>
          <w:b/>
          <w:bCs/>
          <w:i/>
          <w:szCs w:val="24"/>
        </w:rPr>
        <w:tab/>
      </w:r>
      <w:r w:rsidR="00786D64" w:rsidRPr="00AD74C7">
        <w:rPr>
          <w:rFonts w:cs="Bliss-Bold"/>
          <w:b/>
          <w:bCs/>
          <w:i/>
          <w:szCs w:val="24"/>
        </w:rPr>
        <w:t>that is high quality, learner-centred and cost-effective</w:t>
      </w:r>
      <w:r w:rsidR="00AB314C" w:rsidRPr="00AD74C7">
        <w:rPr>
          <w:rFonts w:cs="Bliss-Bold"/>
          <w:bCs/>
          <w:i/>
          <w:szCs w:val="24"/>
        </w:rPr>
        <w:t xml:space="preserve">.’ </w:t>
      </w:r>
      <w:r w:rsidR="00561267" w:rsidRPr="00AD74C7">
        <w:rPr>
          <w:rFonts w:cs="Bliss-Bold"/>
          <w:bCs/>
          <w:i/>
          <w:szCs w:val="24"/>
        </w:rPr>
        <w:tab/>
      </w:r>
      <w:r w:rsidR="003F1D18">
        <w:rPr>
          <w:rFonts w:cs="Bliss-Bold"/>
          <w:bCs/>
          <w:i/>
          <w:szCs w:val="24"/>
        </w:rPr>
        <w:tab/>
      </w:r>
      <w:r w:rsidR="003F1D18">
        <w:rPr>
          <w:rFonts w:cs="Bliss-Bold"/>
          <w:bCs/>
          <w:i/>
          <w:szCs w:val="24"/>
        </w:rPr>
        <w:tab/>
      </w:r>
      <w:r w:rsidR="003F1D18">
        <w:rPr>
          <w:rFonts w:cs="Bliss-Bold"/>
          <w:bCs/>
          <w:i/>
          <w:szCs w:val="24"/>
        </w:rPr>
        <w:tab/>
      </w:r>
      <w:r w:rsidR="003F1D18">
        <w:rPr>
          <w:rFonts w:cs="Bliss-Bold"/>
          <w:bCs/>
          <w:i/>
          <w:szCs w:val="24"/>
        </w:rPr>
        <w:tab/>
      </w:r>
      <w:r w:rsidR="003F1D18">
        <w:rPr>
          <w:rFonts w:cs="Bliss-Bold"/>
          <w:bCs/>
          <w:i/>
          <w:szCs w:val="24"/>
        </w:rPr>
        <w:tab/>
      </w:r>
      <w:r w:rsidR="003F1D18">
        <w:rPr>
          <w:rFonts w:cs="Bliss-Bold"/>
          <w:bCs/>
          <w:i/>
          <w:szCs w:val="24"/>
        </w:rPr>
        <w:tab/>
      </w:r>
      <w:r w:rsidR="003F1D18">
        <w:rPr>
          <w:rFonts w:cs="Bliss-Bold"/>
          <w:bCs/>
          <w:i/>
          <w:szCs w:val="24"/>
        </w:rPr>
        <w:tab/>
      </w:r>
      <w:r w:rsidR="003F1D18">
        <w:rPr>
          <w:rFonts w:cs="Bliss-Bold"/>
          <w:bCs/>
          <w:i/>
          <w:szCs w:val="24"/>
        </w:rPr>
        <w:tab/>
      </w:r>
      <w:r w:rsidR="003F1D18">
        <w:rPr>
          <w:rFonts w:cs="Bliss-Bold"/>
          <w:bCs/>
          <w:i/>
          <w:szCs w:val="24"/>
        </w:rPr>
        <w:tab/>
      </w:r>
      <w:r w:rsidR="003F1D18">
        <w:rPr>
          <w:rFonts w:cs="Bliss-Bold"/>
          <w:bCs/>
          <w:i/>
          <w:szCs w:val="24"/>
        </w:rPr>
        <w:tab/>
      </w:r>
      <w:r w:rsidR="003F1D18">
        <w:rPr>
          <w:rFonts w:cs="Bliss-Bold"/>
          <w:bCs/>
          <w:i/>
          <w:szCs w:val="24"/>
        </w:rPr>
        <w:tab/>
      </w:r>
      <w:r w:rsidR="00561267" w:rsidRPr="00AD74C7">
        <w:rPr>
          <w:rFonts w:cs="Bliss-Bold"/>
          <w:bCs/>
          <w:i/>
          <w:szCs w:val="24"/>
        </w:rPr>
        <w:t>(</w:t>
      </w:r>
      <w:r w:rsidR="00561267" w:rsidRPr="00AD74C7">
        <w:rPr>
          <w:rFonts w:cs="Bliss-Bold"/>
          <w:bCs/>
          <w:szCs w:val="24"/>
        </w:rPr>
        <w:t>LSC</w:t>
      </w:r>
      <w:proofErr w:type="gramStart"/>
      <w:r w:rsidR="00561267" w:rsidRPr="00AD74C7">
        <w:rPr>
          <w:rFonts w:cs="Bliss-Bold"/>
          <w:bCs/>
          <w:szCs w:val="24"/>
        </w:rPr>
        <w:t>,2005:5</w:t>
      </w:r>
      <w:proofErr w:type="gramEnd"/>
      <w:r w:rsidR="00561267" w:rsidRPr="00AD74C7">
        <w:rPr>
          <w:rFonts w:cs="Bliss-Bold"/>
          <w:bCs/>
          <w:szCs w:val="24"/>
        </w:rPr>
        <w:t>)</w:t>
      </w:r>
    </w:p>
    <w:p w:rsidR="00561267" w:rsidRPr="00AD74C7" w:rsidRDefault="00561267" w:rsidP="00AD74C7">
      <w:pPr>
        <w:autoSpaceDE w:val="0"/>
        <w:autoSpaceDN w:val="0"/>
        <w:adjustRightInd w:val="0"/>
        <w:spacing w:after="0" w:line="240" w:lineRule="auto"/>
        <w:rPr>
          <w:rFonts w:cs="Bliss-Bold"/>
          <w:bCs/>
          <w:szCs w:val="24"/>
        </w:rPr>
      </w:pPr>
      <w:r w:rsidRPr="00AD74C7">
        <w:rPr>
          <w:rFonts w:cs="Bliss-Bold"/>
          <w:bCs/>
          <w:szCs w:val="24"/>
        </w:rPr>
        <w:t>However, a more straightforward request was asked for</w:t>
      </w:r>
      <w:r w:rsidR="00E37F3F" w:rsidRPr="00AD74C7">
        <w:rPr>
          <w:rFonts w:cs="Bliss-Bold"/>
          <w:bCs/>
          <w:szCs w:val="24"/>
        </w:rPr>
        <w:t xml:space="preserve"> in the report</w:t>
      </w:r>
      <w:r w:rsidRPr="00AD74C7">
        <w:rPr>
          <w:rFonts w:cs="Bliss-Bold"/>
          <w:bCs/>
          <w:szCs w:val="24"/>
        </w:rPr>
        <w:t xml:space="preserve">.  On the Steering Group we asked for </w:t>
      </w:r>
      <w:r w:rsidR="00BB3449" w:rsidRPr="00AD74C7">
        <w:rPr>
          <w:rFonts w:cs="Bliss-Bold"/>
          <w:bCs/>
          <w:szCs w:val="24"/>
        </w:rPr>
        <w:t xml:space="preserve">this </w:t>
      </w:r>
      <w:r w:rsidRPr="00AD74C7">
        <w:rPr>
          <w:rFonts w:cs="Bliss-Bold"/>
          <w:bCs/>
          <w:szCs w:val="24"/>
        </w:rPr>
        <w:t>provision to remain a priority, encouraged by Government (LSC, 2005:5) and through funders and institutions</w:t>
      </w:r>
      <w:r w:rsidR="00BB3449" w:rsidRPr="00AD74C7">
        <w:rPr>
          <w:rFonts w:cs="Bliss-Bold"/>
          <w:bCs/>
          <w:szCs w:val="24"/>
        </w:rPr>
        <w:t>.  We said simply,</w:t>
      </w:r>
    </w:p>
    <w:p w:rsidR="00561267" w:rsidRPr="00AD74C7" w:rsidRDefault="00561267" w:rsidP="00AD74C7">
      <w:pPr>
        <w:autoSpaceDE w:val="0"/>
        <w:autoSpaceDN w:val="0"/>
        <w:adjustRightInd w:val="0"/>
        <w:spacing w:after="0" w:line="240" w:lineRule="auto"/>
        <w:rPr>
          <w:rFonts w:cs="Bliss-Bold"/>
          <w:bCs/>
          <w:szCs w:val="24"/>
        </w:rPr>
      </w:pPr>
    </w:p>
    <w:p w:rsidR="00561267" w:rsidRPr="00AD74C7" w:rsidRDefault="00561267" w:rsidP="00AD74C7">
      <w:pPr>
        <w:autoSpaceDE w:val="0"/>
        <w:autoSpaceDN w:val="0"/>
        <w:adjustRightInd w:val="0"/>
        <w:spacing w:after="0" w:line="240" w:lineRule="auto"/>
        <w:ind w:left="720"/>
        <w:rPr>
          <w:rFonts w:cs="Bliss-Light"/>
          <w:szCs w:val="24"/>
        </w:rPr>
      </w:pPr>
      <w:r w:rsidRPr="00AD74C7">
        <w:rPr>
          <w:rFonts w:cs="Bliss-Light"/>
          <w:i/>
          <w:szCs w:val="24"/>
        </w:rPr>
        <w:t>‘...</w:t>
      </w:r>
      <w:r w:rsidRPr="00AD74C7">
        <w:rPr>
          <w:rFonts w:cs="Bliss-Light"/>
          <w:b/>
          <w:i/>
          <w:szCs w:val="24"/>
        </w:rPr>
        <w:t>the Steering Group recommends that greater prominence and clarity be attached to this priority area</w:t>
      </w:r>
      <w:r w:rsidRPr="00AD74C7">
        <w:rPr>
          <w:rFonts w:cs="Bliss-Light"/>
          <w:i/>
          <w:szCs w:val="24"/>
        </w:rPr>
        <w:t>, both by DfES and LSC.</w:t>
      </w:r>
      <w:r w:rsidR="00AB314C" w:rsidRPr="00AD74C7">
        <w:rPr>
          <w:rFonts w:cs="Bliss-Light"/>
          <w:i/>
          <w:szCs w:val="24"/>
        </w:rPr>
        <w:t xml:space="preserve"> </w:t>
      </w:r>
      <w:r w:rsidRPr="00AD74C7">
        <w:rPr>
          <w:rFonts w:cs="Bliss-Light"/>
          <w:i/>
          <w:szCs w:val="24"/>
        </w:rPr>
        <w:t xml:space="preserve">We need sensible and clear guidelines, </w:t>
      </w:r>
      <w:r w:rsidRPr="00AD74C7">
        <w:rPr>
          <w:rFonts w:cs="Bliss-Light"/>
          <w:b/>
          <w:i/>
          <w:szCs w:val="24"/>
        </w:rPr>
        <w:t>which leave no room for doubt in the minds of funders,</w:t>
      </w:r>
      <w:r w:rsidR="00AB314C" w:rsidRPr="00AD74C7">
        <w:rPr>
          <w:rFonts w:cs="Bliss-Light"/>
          <w:b/>
          <w:i/>
          <w:szCs w:val="24"/>
        </w:rPr>
        <w:t xml:space="preserve"> </w:t>
      </w:r>
      <w:r w:rsidRPr="00AD74C7">
        <w:rPr>
          <w:rFonts w:cs="Bliss-Light"/>
          <w:b/>
          <w:i/>
          <w:szCs w:val="24"/>
        </w:rPr>
        <w:t>providers and learners</w:t>
      </w:r>
      <w:r w:rsidR="00AB314C" w:rsidRPr="00AD74C7">
        <w:rPr>
          <w:rFonts w:cs="Bliss-Light"/>
          <w:b/>
          <w:i/>
          <w:szCs w:val="24"/>
        </w:rPr>
        <w:t>... to avoid a repetition of this year’s confusion</w:t>
      </w:r>
      <w:r w:rsidR="00AB314C" w:rsidRPr="00AD74C7">
        <w:rPr>
          <w:rFonts w:cs="Bliss-Light"/>
          <w:i/>
          <w:szCs w:val="24"/>
        </w:rPr>
        <w:t>.’</w:t>
      </w:r>
      <w:r w:rsidR="00BB3449" w:rsidRPr="00AD74C7">
        <w:rPr>
          <w:rFonts w:cs="Bliss-Light"/>
          <w:i/>
          <w:szCs w:val="24"/>
        </w:rPr>
        <w:t xml:space="preserve"> </w:t>
      </w:r>
      <w:r w:rsidR="00AB314C" w:rsidRPr="00AD74C7">
        <w:rPr>
          <w:rFonts w:cs="Bliss-Light"/>
          <w:szCs w:val="24"/>
        </w:rPr>
        <w:t>(LSC, 2005:5)</w:t>
      </w:r>
    </w:p>
    <w:p w:rsidR="00561267" w:rsidRPr="00AD74C7" w:rsidRDefault="00561267" w:rsidP="00AD74C7">
      <w:pPr>
        <w:autoSpaceDE w:val="0"/>
        <w:autoSpaceDN w:val="0"/>
        <w:adjustRightInd w:val="0"/>
        <w:spacing w:after="0" w:line="240" w:lineRule="auto"/>
        <w:ind w:left="720"/>
        <w:rPr>
          <w:rFonts w:cs="Bliss-Bold"/>
          <w:bCs/>
          <w:i/>
          <w:szCs w:val="24"/>
        </w:rPr>
      </w:pPr>
    </w:p>
    <w:p w:rsidR="0044578E" w:rsidRPr="00AD74C7" w:rsidRDefault="00B337B7" w:rsidP="00AD74C7">
      <w:pPr>
        <w:spacing w:line="240" w:lineRule="auto"/>
        <w:rPr>
          <w:szCs w:val="24"/>
          <w:lang w:eastAsia="en-GB"/>
        </w:rPr>
      </w:pPr>
      <w:r w:rsidRPr="00AD74C7">
        <w:rPr>
          <w:szCs w:val="24"/>
          <w:lang w:eastAsia="en-GB"/>
        </w:rPr>
        <w:t xml:space="preserve">We </w:t>
      </w:r>
      <w:r w:rsidR="00BB3449" w:rsidRPr="00AD74C7">
        <w:rPr>
          <w:szCs w:val="24"/>
          <w:lang w:eastAsia="en-GB"/>
        </w:rPr>
        <w:t xml:space="preserve">do </w:t>
      </w:r>
      <w:r w:rsidRPr="00AD74C7">
        <w:rPr>
          <w:szCs w:val="24"/>
          <w:lang w:eastAsia="en-GB"/>
        </w:rPr>
        <w:t>need to fix both participation and quality.  In addition, i</w:t>
      </w:r>
      <w:r w:rsidR="00AB314C" w:rsidRPr="00AD74C7">
        <w:rPr>
          <w:szCs w:val="24"/>
          <w:lang w:eastAsia="en-GB"/>
        </w:rPr>
        <w:t xml:space="preserve">f we were to achieve a modest re-think about priorities we could help institutions and services to respond to the spirit as well as to the letter of the law.  The </w:t>
      </w:r>
      <w:r w:rsidR="005C7A7C" w:rsidRPr="00AD74C7">
        <w:rPr>
          <w:i/>
          <w:szCs w:val="24"/>
          <w:lang w:eastAsia="en-GB"/>
        </w:rPr>
        <w:t xml:space="preserve">Equality Act 2010 </w:t>
      </w:r>
      <w:r w:rsidR="005C7A7C" w:rsidRPr="00AD74C7">
        <w:rPr>
          <w:szCs w:val="24"/>
          <w:lang w:eastAsia="en-GB"/>
        </w:rPr>
        <w:t>and its guidance</w:t>
      </w:r>
      <w:r w:rsidR="005C7A7C" w:rsidRPr="003F1D18">
        <w:rPr>
          <w:rStyle w:val="FootnoteReference"/>
          <w:szCs w:val="24"/>
          <w:lang w:eastAsia="en-GB"/>
        </w:rPr>
        <w:footnoteReference w:id="19"/>
      </w:r>
      <w:r w:rsidR="0044578E" w:rsidRPr="003F1D18">
        <w:rPr>
          <w:szCs w:val="24"/>
          <w:lang w:eastAsia="en-GB"/>
        </w:rPr>
        <w:t xml:space="preserve"> </w:t>
      </w:r>
      <w:r w:rsidR="003F1D18" w:rsidRPr="003F1D18">
        <w:rPr>
          <w:szCs w:val="24"/>
          <w:lang w:eastAsia="en-GB"/>
        </w:rPr>
        <w:t>in the UK</w:t>
      </w:r>
      <w:r w:rsidR="003F1D18">
        <w:rPr>
          <w:i/>
          <w:szCs w:val="24"/>
          <w:lang w:eastAsia="en-GB"/>
        </w:rPr>
        <w:t xml:space="preserve"> </w:t>
      </w:r>
      <w:proofErr w:type="gramStart"/>
      <w:r w:rsidR="0044578E" w:rsidRPr="00AD74C7">
        <w:rPr>
          <w:szCs w:val="24"/>
          <w:lang w:eastAsia="en-GB"/>
        </w:rPr>
        <w:t>includes</w:t>
      </w:r>
      <w:proofErr w:type="gramEnd"/>
      <w:r w:rsidR="0044578E" w:rsidRPr="00AD74C7">
        <w:rPr>
          <w:szCs w:val="24"/>
          <w:lang w:eastAsia="en-GB"/>
        </w:rPr>
        <w:t xml:space="preserve"> a duty on public sector authorities to promote disability equality.  What better way of promoting it than to ensure that learners with disabilities are properly represented in the system at all levels and ages?  At least this was the hope of the 2005 Review (LSC, 2005:8).</w:t>
      </w:r>
      <w:r w:rsidR="0044578E" w:rsidRPr="00AD74C7">
        <w:rPr>
          <w:i/>
          <w:szCs w:val="24"/>
          <w:lang w:eastAsia="en-GB"/>
        </w:rPr>
        <w:t xml:space="preserve">  </w:t>
      </w:r>
      <w:r w:rsidR="0044578E" w:rsidRPr="00AD74C7">
        <w:rPr>
          <w:szCs w:val="24"/>
          <w:lang w:eastAsia="en-GB"/>
        </w:rPr>
        <w:t>With</w:t>
      </w:r>
      <w:r w:rsidR="00E37F3F" w:rsidRPr="00AD74C7">
        <w:rPr>
          <w:szCs w:val="24"/>
          <w:lang w:eastAsia="en-GB"/>
        </w:rPr>
        <w:t>out</w:t>
      </w:r>
      <w:r w:rsidR="0044578E" w:rsidRPr="00AD74C7">
        <w:rPr>
          <w:szCs w:val="24"/>
          <w:lang w:eastAsia="en-GB"/>
        </w:rPr>
        <w:t xml:space="preserve"> a new strategy and agreed priorities, though, and in the light of the new ‘freedoms’ for the </w:t>
      </w:r>
      <w:r w:rsidR="0044578E" w:rsidRPr="00AD74C7">
        <w:rPr>
          <w:szCs w:val="24"/>
          <w:lang w:eastAsia="en-GB"/>
        </w:rPr>
        <w:lastRenderedPageBreak/>
        <w:t>sector</w:t>
      </w:r>
      <w:r w:rsidR="00E37F3F" w:rsidRPr="00AD74C7">
        <w:rPr>
          <w:szCs w:val="24"/>
          <w:lang w:eastAsia="en-GB"/>
        </w:rPr>
        <w:t>,</w:t>
      </w:r>
      <w:r w:rsidR="0044578E" w:rsidRPr="00AD74C7">
        <w:rPr>
          <w:szCs w:val="24"/>
          <w:lang w:eastAsia="en-GB"/>
        </w:rPr>
        <w:t xml:space="preserve"> it is </w:t>
      </w:r>
      <w:r w:rsidR="00E37F3F" w:rsidRPr="00AD74C7">
        <w:rPr>
          <w:szCs w:val="24"/>
          <w:lang w:eastAsia="en-GB"/>
        </w:rPr>
        <w:t>difficult</w:t>
      </w:r>
      <w:r w:rsidR="0044578E" w:rsidRPr="00AD74C7">
        <w:rPr>
          <w:szCs w:val="24"/>
          <w:lang w:eastAsia="en-GB"/>
        </w:rPr>
        <w:t xml:space="preserve"> to see how participation can be maintained and even enhanced.  </w:t>
      </w:r>
    </w:p>
    <w:p w:rsidR="00B337B7" w:rsidRPr="00AD74C7" w:rsidRDefault="0044578E" w:rsidP="00AD74C7">
      <w:pPr>
        <w:spacing w:line="240" w:lineRule="auto"/>
        <w:rPr>
          <w:szCs w:val="24"/>
          <w:lang w:eastAsia="en-GB"/>
        </w:rPr>
      </w:pPr>
      <w:r w:rsidRPr="00AD74C7">
        <w:rPr>
          <w:szCs w:val="24"/>
          <w:lang w:eastAsia="en-GB"/>
        </w:rPr>
        <w:t xml:space="preserve">What we know from the past is that the further education sector is both flexible and responsive.  Following the publication of the Tomlinson report and with relatively little financial encouragement the sector responded warmly, creating inclusive learning approaches almost overnight in many establishments.  Of course, change came more slowly for some providers.  But to make what I’d like to see happen and to ensure that it isn’t left to </w:t>
      </w:r>
      <w:r w:rsidRPr="00AD74C7">
        <w:rPr>
          <w:i/>
          <w:szCs w:val="24"/>
          <w:lang w:eastAsia="en-GB"/>
        </w:rPr>
        <w:t xml:space="preserve">laissez faire </w:t>
      </w:r>
      <w:r w:rsidRPr="00AD74C7">
        <w:rPr>
          <w:szCs w:val="24"/>
          <w:lang w:eastAsia="en-GB"/>
        </w:rPr>
        <w:t xml:space="preserve">I think I am suggesting </w:t>
      </w:r>
      <w:r w:rsidR="00520721" w:rsidRPr="00AD74C7">
        <w:rPr>
          <w:szCs w:val="24"/>
          <w:lang w:eastAsia="en-GB"/>
        </w:rPr>
        <w:t xml:space="preserve">that we do some research, similar to that of IES </w:t>
      </w:r>
      <w:r w:rsidR="00B337B7" w:rsidRPr="00AD74C7">
        <w:rPr>
          <w:szCs w:val="24"/>
          <w:lang w:eastAsia="en-GB"/>
        </w:rPr>
        <w:t>i</w:t>
      </w:r>
      <w:r w:rsidR="00520721" w:rsidRPr="00AD74C7">
        <w:rPr>
          <w:szCs w:val="24"/>
          <w:lang w:eastAsia="en-GB"/>
        </w:rPr>
        <w:t>n 2008 (LSC, 2010), and set up some kind of task group to encourage change to happen.</w:t>
      </w:r>
      <w:r w:rsidR="003F1D18">
        <w:rPr>
          <w:szCs w:val="24"/>
          <w:lang w:eastAsia="en-GB"/>
        </w:rPr>
        <w:t xml:space="preserve">  Central to the task group must be the voice of learners and those who speak for them.</w:t>
      </w:r>
    </w:p>
    <w:p w:rsidR="005F2247" w:rsidRPr="00AD74C7" w:rsidRDefault="00B337B7" w:rsidP="00AD74C7">
      <w:pPr>
        <w:spacing w:line="240" w:lineRule="auto"/>
        <w:rPr>
          <w:szCs w:val="24"/>
          <w:lang w:eastAsia="en-GB"/>
        </w:rPr>
      </w:pPr>
      <w:r w:rsidRPr="00AD74C7">
        <w:rPr>
          <w:szCs w:val="24"/>
          <w:lang w:eastAsia="en-GB"/>
        </w:rPr>
        <w:t xml:space="preserve">And why do we need this change to happen?  Because </w:t>
      </w:r>
      <w:r w:rsidR="005A19AB" w:rsidRPr="00AD74C7">
        <w:rPr>
          <w:szCs w:val="24"/>
          <w:lang w:eastAsia="en-GB"/>
        </w:rPr>
        <w:t xml:space="preserve">in these uncertain and difficult times we need to remind ourselves of our values and the improvements already made.  Tony Judt in </w:t>
      </w:r>
      <w:r w:rsidR="005A19AB" w:rsidRPr="00AD74C7">
        <w:rPr>
          <w:i/>
          <w:szCs w:val="24"/>
          <w:lang w:eastAsia="en-GB"/>
        </w:rPr>
        <w:t>Ill Fares the Land</w:t>
      </w:r>
      <w:r w:rsidR="005A19AB" w:rsidRPr="00AD74C7">
        <w:rPr>
          <w:rStyle w:val="FootnoteReference"/>
          <w:i/>
          <w:szCs w:val="24"/>
          <w:lang w:eastAsia="en-GB"/>
        </w:rPr>
        <w:footnoteReference w:id="20"/>
      </w:r>
      <w:r w:rsidR="005A19AB" w:rsidRPr="00AD74C7">
        <w:rPr>
          <w:szCs w:val="24"/>
          <w:lang w:eastAsia="en-GB"/>
        </w:rPr>
        <w:t xml:space="preserve">argues patiently that the more equal we get, the more equal we believe it is possible to be (Judt, 2011:21).  </w:t>
      </w:r>
      <w:r w:rsidR="003F1D18">
        <w:rPr>
          <w:szCs w:val="24"/>
          <w:lang w:eastAsia="en-GB"/>
        </w:rPr>
        <w:t xml:space="preserve">Judt himself, increasingly disabled through a degenerative disease, argued that the voice of those with most experience was critical for social change.  </w:t>
      </w:r>
      <w:r w:rsidR="005A19AB" w:rsidRPr="00AD74C7">
        <w:rPr>
          <w:szCs w:val="24"/>
          <w:lang w:eastAsia="en-GB"/>
        </w:rPr>
        <w:t>We know that ‘economic growth’ is not sufficient</w:t>
      </w:r>
      <w:r w:rsidR="00BB3449" w:rsidRPr="00AD74C7">
        <w:rPr>
          <w:szCs w:val="24"/>
          <w:lang w:eastAsia="en-GB"/>
        </w:rPr>
        <w:t xml:space="preserve">: education has other purposes too.  </w:t>
      </w:r>
      <w:r w:rsidR="005A19AB" w:rsidRPr="00AD74C7">
        <w:rPr>
          <w:szCs w:val="24"/>
          <w:lang w:eastAsia="en-GB"/>
        </w:rPr>
        <w:t xml:space="preserve">In hard times, suggests Judt, we are more likely to accept redistribution </w:t>
      </w:r>
      <w:r w:rsidR="005A19AB" w:rsidRPr="00AD74C7">
        <w:rPr>
          <w:b/>
          <w:i/>
          <w:szCs w:val="24"/>
          <w:lang w:eastAsia="en-GB"/>
        </w:rPr>
        <w:t xml:space="preserve">‘as both necessary and possible </w:t>
      </w:r>
      <w:r w:rsidR="005A19AB" w:rsidRPr="00AD74C7">
        <w:rPr>
          <w:b/>
          <w:szCs w:val="24"/>
          <w:lang w:eastAsia="en-GB"/>
        </w:rPr>
        <w:t xml:space="preserve">[since] </w:t>
      </w:r>
      <w:r w:rsidR="005A19AB" w:rsidRPr="00AD74C7">
        <w:rPr>
          <w:b/>
          <w:i/>
          <w:szCs w:val="24"/>
          <w:lang w:eastAsia="en-GB"/>
        </w:rPr>
        <w:t>in an age of affluence economic growth typically privileges the few while accentuating the relative disadvantage of the many</w:t>
      </w:r>
      <w:r w:rsidR="005A19AB" w:rsidRPr="00AD74C7">
        <w:rPr>
          <w:i/>
          <w:szCs w:val="24"/>
          <w:lang w:eastAsia="en-GB"/>
        </w:rPr>
        <w:t>’ (</w:t>
      </w:r>
      <w:r w:rsidR="005A19AB" w:rsidRPr="00AD74C7">
        <w:rPr>
          <w:szCs w:val="24"/>
          <w:lang w:eastAsia="en-GB"/>
        </w:rPr>
        <w:t xml:space="preserve">Judt, 2011: 21).  </w:t>
      </w:r>
      <w:r w:rsidR="00DC360C" w:rsidRPr="00AD74C7">
        <w:rPr>
          <w:szCs w:val="24"/>
          <w:lang w:eastAsia="en-GB"/>
        </w:rPr>
        <w:t>The argument is worth a look.  Drawing from Wilson and Pickett’</w:t>
      </w:r>
      <w:r w:rsidR="00D71D70" w:rsidRPr="00AD74C7">
        <w:rPr>
          <w:szCs w:val="24"/>
          <w:lang w:eastAsia="en-GB"/>
        </w:rPr>
        <w:t>s</w:t>
      </w:r>
      <w:r w:rsidR="00DC360C" w:rsidRPr="00AD74C7">
        <w:rPr>
          <w:szCs w:val="24"/>
          <w:lang w:eastAsia="en-GB"/>
        </w:rPr>
        <w:t xml:space="preserve"> </w:t>
      </w:r>
      <w:r w:rsidR="00DC360C" w:rsidRPr="00AD74C7">
        <w:rPr>
          <w:i/>
          <w:szCs w:val="24"/>
          <w:lang w:eastAsia="en-GB"/>
        </w:rPr>
        <w:t>The Spirit Level</w:t>
      </w:r>
      <w:r w:rsidR="00DC360C" w:rsidRPr="00AD74C7">
        <w:rPr>
          <w:rStyle w:val="FootnoteReference"/>
          <w:i/>
          <w:szCs w:val="24"/>
          <w:lang w:eastAsia="en-GB"/>
        </w:rPr>
        <w:footnoteReference w:id="21"/>
      </w:r>
      <w:r w:rsidR="00D71D70" w:rsidRPr="00AD74C7">
        <w:rPr>
          <w:szCs w:val="24"/>
          <w:lang w:eastAsia="en-GB"/>
        </w:rPr>
        <w:t xml:space="preserve"> Judt argues that the more equal the society, the greater the trust and where there is greater trust there is greater co-operation and a more successful state (Judt, 2011:66).  </w:t>
      </w:r>
      <w:r w:rsidR="005F2247" w:rsidRPr="00AD74C7">
        <w:rPr>
          <w:szCs w:val="24"/>
          <w:lang w:eastAsia="en-GB"/>
        </w:rPr>
        <w:t>I am convinced by this.  Judt concludes by arguing for a recasting of the ‘</w:t>
      </w:r>
      <w:r w:rsidR="005F2247" w:rsidRPr="00AD74C7">
        <w:rPr>
          <w:b/>
          <w:i/>
          <w:szCs w:val="24"/>
          <w:lang w:eastAsia="en-GB"/>
        </w:rPr>
        <w:t>public conversation</w:t>
      </w:r>
      <w:r w:rsidR="005F2247" w:rsidRPr="00AD74C7">
        <w:rPr>
          <w:i/>
          <w:szCs w:val="24"/>
          <w:lang w:eastAsia="en-GB"/>
        </w:rPr>
        <w:t xml:space="preserve">’ </w:t>
      </w:r>
      <w:r w:rsidR="005F2247" w:rsidRPr="00AD74C7">
        <w:rPr>
          <w:szCs w:val="24"/>
          <w:lang w:eastAsia="en-GB"/>
        </w:rPr>
        <w:t>(Judt, 2011:170) which is the only realistic way to bring about change: ‘</w:t>
      </w:r>
      <w:r w:rsidR="005F2247" w:rsidRPr="00AD74C7">
        <w:rPr>
          <w:b/>
          <w:i/>
          <w:szCs w:val="24"/>
          <w:lang w:eastAsia="en-GB"/>
        </w:rPr>
        <w:t xml:space="preserve">If we do not </w:t>
      </w:r>
      <w:r w:rsidR="005F2247" w:rsidRPr="00AD74C7">
        <w:rPr>
          <w:b/>
          <w:i/>
          <w:szCs w:val="24"/>
          <w:u w:val="single"/>
          <w:lang w:eastAsia="en-GB"/>
        </w:rPr>
        <w:t>talk</w:t>
      </w:r>
      <w:r w:rsidR="005F2247" w:rsidRPr="00AD74C7">
        <w:rPr>
          <w:b/>
          <w:i/>
          <w:szCs w:val="24"/>
          <w:lang w:eastAsia="en-GB"/>
        </w:rPr>
        <w:t xml:space="preserve"> differently</w:t>
      </w:r>
      <w:r w:rsidR="00BB3449" w:rsidRPr="00AD74C7">
        <w:rPr>
          <w:b/>
          <w:i/>
          <w:szCs w:val="24"/>
          <w:lang w:eastAsia="en-GB"/>
        </w:rPr>
        <w:t>’</w:t>
      </w:r>
      <w:r w:rsidR="005F2247" w:rsidRPr="00AD74C7">
        <w:rPr>
          <w:b/>
          <w:i/>
          <w:szCs w:val="24"/>
          <w:lang w:eastAsia="en-GB"/>
        </w:rPr>
        <w:t xml:space="preserve">, </w:t>
      </w:r>
      <w:r w:rsidR="00BB3449" w:rsidRPr="00AD74C7">
        <w:rPr>
          <w:szCs w:val="24"/>
          <w:lang w:eastAsia="en-GB"/>
        </w:rPr>
        <w:t>he says, ‘</w:t>
      </w:r>
      <w:r w:rsidR="005F2247" w:rsidRPr="00AD74C7">
        <w:rPr>
          <w:b/>
          <w:i/>
          <w:szCs w:val="24"/>
          <w:lang w:eastAsia="en-GB"/>
        </w:rPr>
        <w:t xml:space="preserve">we shall not </w:t>
      </w:r>
      <w:r w:rsidR="005F2247" w:rsidRPr="00AD74C7">
        <w:rPr>
          <w:b/>
          <w:i/>
          <w:szCs w:val="24"/>
          <w:u w:val="single"/>
          <w:lang w:eastAsia="en-GB"/>
        </w:rPr>
        <w:t>think</w:t>
      </w:r>
      <w:r w:rsidR="005F2247" w:rsidRPr="00AD74C7">
        <w:rPr>
          <w:b/>
          <w:i/>
          <w:szCs w:val="24"/>
          <w:lang w:eastAsia="en-GB"/>
        </w:rPr>
        <w:t xml:space="preserve"> differently’</w:t>
      </w:r>
      <w:r w:rsidR="005F2247" w:rsidRPr="00AD74C7">
        <w:rPr>
          <w:i/>
          <w:szCs w:val="24"/>
          <w:lang w:eastAsia="en-GB"/>
        </w:rPr>
        <w:t xml:space="preserve"> </w:t>
      </w:r>
      <w:r w:rsidR="005F2247" w:rsidRPr="00AD74C7">
        <w:rPr>
          <w:szCs w:val="24"/>
          <w:lang w:eastAsia="en-GB"/>
        </w:rPr>
        <w:t>(Judt, 2011:171)</w:t>
      </w:r>
      <w:r w:rsidR="005F2247" w:rsidRPr="00AD74C7">
        <w:rPr>
          <w:i/>
          <w:szCs w:val="24"/>
          <w:lang w:eastAsia="en-GB"/>
        </w:rPr>
        <w:t>.</w:t>
      </w:r>
      <w:r w:rsidR="005F2247" w:rsidRPr="00AD74C7">
        <w:rPr>
          <w:szCs w:val="24"/>
          <w:lang w:eastAsia="en-GB"/>
        </w:rPr>
        <w:t xml:space="preserve"> </w:t>
      </w:r>
      <w:r w:rsidR="003F1D18">
        <w:rPr>
          <w:szCs w:val="24"/>
          <w:lang w:eastAsia="en-GB"/>
        </w:rPr>
        <w:t xml:space="preserve"> I am arguing that we have to listen differently too.</w:t>
      </w:r>
    </w:p>
    <w:p w:rsidR="00BB3449" w:rsidRPr="00AD74C7" w:rsidRDefault="00D71D70" w:rsidP="00AD74C7">
      <w:pPr>
        <w:spacing w:line="240" w:lineRule="auto"/>
        <w:rPr>
          <w:szCs w:val="24"/>
          <w:lang w:eastAsia="en-GB"/>
        </w:rPr>
      </w:pPr>
      <w:r w:rsidRPr="00AD74C7">
        <w:rPr>
          <w:szCs w:val="24"/>
          <w:lang w:eastAsia="en-GB"/>
        </w:rPr>
        <w:t xml:space="preserve">My argument is that if we want to get </w:t>
      </w:r>
      <w:r w:rsidR="00B337B7" w:rsidRPr="00AD74C7">
        <w:rPr>
          <w:szCs w:val="24"/>
          <w:lang w:eastAsia="en-GB"/>
        </w:rPr>
        <w:t>away from it being ‘</w:t>
      </w:r>
      <w:r w:rsidR="00B337B7" w:rsidRPr="00AD74C7">
        <w:rPr>
          <w:b/>
          <w:i/>
          <w:szCs w:val="24"/>
          <w:lang w:eastAsia="en-GB"/>
        </w:rPr>
        <w:t>a</w:t>
      </w:r>
      <w:r w:rsidR="00BB3449" w:rsidRPr="00AD74C7">
        <w:rPr>
          <w:b/>
          <w:i/>
          <w:szCs w:val="24"/>
          <w:lang w:eastAsia="en-GB"/>
        </w:rPr>
        <w:t>ll</w:t>
      </w:r>
      <w:r w:rsidR="00B337B7" w:rsidRPr="00AD74C7">
        <w:rPr>
          <w:b/>
          <w:i/>
          <w:szCs w:val="24"/>
          <w:lang w:eastAsia="en-GB"/>
        </w:rPr>
        <w:t xml:space="preserve"> a muddle</w:t>
      </w:r>
      <w:r w:rsidR="00B337B7" w:rsidRPr="00AD74C7">
        <w:rPr>
          <w:szCs w:val="24"/>
          <w:lang w:eastAsia="en-GB"/>
        </w:rPr>
        <w:t xml:space="preserve">’ we need to </w:t>
      </w:r>
      <w:r w:rsidR="005A19AB" w:rsidRPr="00AD74C7">
        <w:rPr>
          <w:szCs w:val="24"/>
          <w:lang w:eastAsia="en-GB"/>
        </w:rPr>
        <w:t xml:space="preserve">consider </w:t>
      </w:r>
      <w:r w:rsidRPr="00AD74C7">
        <w:rPr>
          <w:szCs w:val="24"/>
          <w:lang w:eastAsia="en-GB"/>
        </w:rPr>
        <w:t>both the economic benefit of better and more inclusive educational provision for adults with disabilities, but also</w:t>
      </w:r>
      <w:r w:rsidR="00B337B7" w:rsidRPr="00AD74C7">
        <w:rPr>
          <w:szCs w:val="24"/>
          <w:lang w:eastAsia="en-GB"/>
        </w:rPr>
        <w:t xml:space="preserve"> </w:t>
      </w:r>
      <w:r w:rsidRPr="00AD74C7">
        <w:rPr>
          <w:szCs w:val="24"/>
          <w:lang w:eastAsia="en-GB"/>
        </w:rPr>
        <w:t>the social benefits too –</w:t>
      </w:r>
      <w:r w:rsidR="0053054F" w:rsidRPr="00AD74C7">
        <w:rPr>
          <w:szCs w:val="24"/>
          <w:lang w:eastAsia="en-GB"/>
        </w:rPr>
        <w:t xml:space="preserve"> anything we can do to make </w:t>
      </w:r>
      <w:r w:rsidRPr="00AD74C7">
        <w:rPr>
          <w:szCs w:val="24"/>
          <w:lang w:eastAsia="en-GB"/>
        </w:rPr>
        <w:t>society a more equal one will have benefits for all</w:t>
      </w:r>
      <w:r w:rsidR="005F2247" w:rsidRPr="00AD74C7">
        <w:rPr>
          <w:szCs w:val="24"/>
          <w:lang w:eastAsia="en-GB"/>
        </w:rPr>
        <w:t xml:space="preserve"> of us</w:t>
      </w:r>
      <w:r w:rsidRPr="00AD74C7">
        <w:rPr>
          <w:szCs w:val="24"/>
          <w:lang w:eastAsia="en-GB"/>
        </w:rPr>
        <w:t>.</w:t>
      </w:r>
      <w:r w:rsidR="005F2247" w:rsidRPr="00AD74C7">
        <w:rPr>
          <w:szCs w:val="24"/>
          <w:lang w:eastAsia="en-GB"/>
        </w:rPr>
        <w:t xml:space="preserve">  A renewed strategy, focusing on both quality and participation might contribute to this.</w:t>
      </w:r>
      <w:r w:rsidRPr="00AD74C7">
        <w:rPr>
          <w:szCs w:val="24"/>
          <w:lang w:eastAsia="en-GB"/>
        </w:rPr>
        <w:t xml:space="preserve">  </w:t>
      </w:r>
      <w:r w:rsidR="003F1D18">
        <w:rPr>
          <w:szCs w:val="24"/>
          <w:lang w:eastAsia="en-GB"/>
        </w:rPr>
        <w:t xml:space="preserve">And it must involve the voice of disabled people and disabled learners.  </w:t>
      </w:r>
      <w:r w:rsidR="0053054F" w:rsidRPr="00AD74C7">
        <w:rPr>
          <w:szCs w:val="24"/>
          <w:lang w:eastAsia="en-GB"/>
        </w:rPr>
        <w:t xml:space="preserve">But first comes the public conversation, </w:t>
      </w:r>
      <w:r w:rsidR="003F1D18">
        <w:rPr>
          <w:szCs w:val="24"/>
          <w:lang w:eastAsia="en-GB"/>
        </w:rPr>
        <w:t xml:space="preserve">involving those most affected, </w:t>
      </w:r>
      <w:r w:rsidR="0053054F" w:rsidRPr="00AD74C7">
        <w:rPr>
          <w:szCs w:val="24"/>
          <w:lang w:eastAsia="en-GB"/>
        </w:rPr>
        <w:t>and it has to be about equality for all.</w:t>
      </w:r>
    </w:p>
    <w:p w:rsidR="00AD74C7" w:rsidRDefault="00E37F3F" w:rsidP="00AD74C7">
      <w:pPr>
        <w:spacing w:line="240" w:lineRule="auto"/>
        <w:rPr>
          <w:szCs w:val="24"/>
          <w:lang w:eastAsia="en-GB"/>
        </w:rPr>
      </w:pPr>
      <w:r w:rsidRPr="00AD74C7">
        <w:rPr>
          <w:szCs w:val="24"/>
          <w:lang w:eastAsia="en-GB"/>
        </w:rPr>
        <w:t>Peter Lavende</w:t>
      </w:r>
      <w:r w:rsidR="003F1D18">
        <w:rPr>
          <w:szCs w:val="24"/>
          <w:lang w:eastAsia="en-GB"/>
        </w:rPr>
        <w:t>r</w:t>
      </w:r>
    </w:p>
    <w:p w:rsidR="009B5D4B" w:rsidRPr="00AD74C7" w:rsidRDefault="003F1D18" w:rsidP="00AD74C7">
      <w:pPr>
        <w:spacing w:line="240" w:lineRule="auto"/>
        <w:rPr>
          <w:szCs w:val="24"/>
          <w:lang w:eastAsia="en-GB"/>
        </w:rPr>
      </w:pPr>
      <w:r>
        <w:rPr>
          <w:szCs w:val="24"/>
          <w:lang w:eastAsia="en-GB"/>
        </w:rPr>
        <w:t>March 2012</w:t>
      </w:r>
    </w:p>
    <w:sectPr w:rsidR="009B5D4B" w:rsidRPr="00AD74C7" w:rsidSect="004E4F9E">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1AF2" w:rsidRDefault="00421AF2" w:rsidP="00B92BBA">
      <w:pPr>
        <w:spacing w:after="0" w:line="240" w:lineRule="auto"/>
      </w:pPr>
      <w:r>
        <w:separator/>
      </w:r>
    </w:p>
  </w:endnote>
  <w:endnote w:type="continuationSeparator" w:id="0">
    <w:p w:rsidR="00421AF2" w:rsidRDefault="00421AF2" w:rsidP="00B92B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MT">
    <w:panose1 w:val="00000000000000000000"/>
    <w:charset w:val="00"/>
    <w:family w:val="swiss"/>
    <w:notTrueType/>
    <w:pitch w:val="default"/>
    <w:sig w:usb0="00000003" w:usb1="00000000" w:usb2="00000000" w:usb3="00000000" w:csb0="00000001" w:csb1="00000000"/>
  </w:font>
  <w:font w:name="Bliss-Regular">
    <w:panose1 w:val="00000000000000000000"/>
    <w:charset w:val="00"/>
    <w:family w:val="swiss"/>
    <w:notTrueType/>
    <w:pitch w:val="default"/>
    <w:sig w:usb0="00000003" w:usb1="00000000" w:usb2="00000000" w:usb3="00000000" w:csb0="00000001" w:csb1="00000000"/>
  </w:font>
  <w:font w:name="Bliss-Ligh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Arial-ItalicM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liss-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387286"/>
      <w:docPartObj>
        <w:docPartGallery w:val="Page Numbers (Bottom of Page)"/>
        <w:docPartUnique/>
      </w:docPartObj>
    </w:sdtPr>
    <w:sdtContent>
      <w:p w:rsidR="00C30980" w:rsidRDefault="004C0569">
        <w:pPr>
          <w:pStyle w:val="Footer"/>
          <w:jc w:val="center"/>
        </w:pPr>
        <w:fldSimple w:instr=" PAGE   \* MERGEFORMAT ">
          <w:r w:rsidR="00D805FD">
            <w:rPr>
              <w:noProof/>
            </w:rPr>
            <w:t>1</w:t>
          </w:r>
        </w:fldSimple>
      </w:p>
    </w:sdtContent>
  </w:sdt>
  <w:p w:rsidR="00C30980" w:rsidRDefault="00C3098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1AF2" w:rsidRDefault="00421AF2" w:rsidP="00B92BBA">
      <w:pPr>
        <w:spacing w:after="0" w:line="240" w:lineRule="auto"/>
      </w:pPr>
      <w:r>
        <w:separator/>
      </w:r>
    </w:p>
  </w:footnote>
  <w:footnote w:type="continuationSeparator" w:id="0">
    <w:p w:rsidR="00421AF2" w:rsidRDefault="00421AF2" w:rsidP="00B92BBA">
      <w:pPr>
        <w:spacing w:after="0" w:line="240" w:lineRule="auto"/>
      </w:pPr>
      <w:r>
        <w:continuationSeparator/>
      </w:r>
    </w:p>
  </w:footnote>
  <w:footnote w:id="1">
    <w:p w:rsidR="00C30980" w:rsidRPr="007304E3" w:rsidRDefault="00C30980" w:rsidP="0053054F">
      <w:pPr>
        <w:pStyle w:val="FootnoteText"/>
      </w:pPr>
      <w:r w:rsidRPr="007304E3">
        <w:rPr>
          <w:rStyle w:val="FootnoteReference"/>
        </w:rPr>
        <w:footnoteRef/>
      </w:r>
      <w:r w:rsidRPr="007304E3">
        <w:t xml:space="preserve"> Further Education Funding Council (1996) </w:t>
      </w:r>
      <w:r w:rsidRPr="007304E3">
        <w:rPr>
          <w:i/>
        </w:rPr>
        <w:t xml:space="preserve">Inclusive Learning  </w:t>
      </w:r>
      <w:r w:rsidRPr="007304E3">
        <w:t>Norwich,</w:t>
      </w:r>
      <w:r w:rsidRPr="007304E3">
        <w:rPr>
          <w:i/>
        </w:rPr>
        <w:t xml:space="preserve"> </w:t>
      </w:r>
      <w:r w:rsidRPr="007304E3">
        <w:t>HMSO</w:t>
      </w:r>
    </w:p>
  </w:footnote>
  <w:footnote w:id="2">
    <w:p w:rsidR="00C30980" w:rsidRPr="007304E3" w:rsidRDefault="00C30980" w:rsidP="0053054F">
      <w:pPr>
        <w:spacing w:line="240" w:lineRule="auto"/>
        <w:rPr>
          <w:sz w:val="20"/>
          <w:szCs w:val="20"/>
        </w:rPr>
      </w:pPr>
      <w:r w:rsidRPr="007304E3">
        <w:rPr>
          <w:rStyle w:val="FootnoteReference"/>
          <w:sz w:val="20"/>
          <w:szCs w:val="20"/>
        </w:rPr>
        <w:footnoteRef/>
      </w:r>
      <w:r w:rsidRPr="007304E3">
        <w:rPr>
          <w:sz w:val="20"/>
          <w:szCs w:val="20"/>
        </w:rPr>
        <w:t xml:space="preserve"> </w:t>
      </w:r>
      <w:proofErr w:type="gramStart"/>
      <w:r w:rsidRPr="007304E3">
        <w:rPr>
          <w:i/>
          <w:sz w:val="20"/>
          <w:szCs w:val="20"/>
          <w:lang w:eastAsia="en-GB"/>
        </w:rPr>
        <w:t xml:space="preserve">Further and Higher Education Act, </w:t>
      </w:r>
      <w:r w:rsidRPr="007304E3">
        <w:rPr>
          <w:sz w:val="20"/>
          <w:szCs w:val="20"/>
          <w:lang w:eastAsia="en-GB"/>
        </w:rPr>
        <w:t>1992.</w:t>
      </w:r>
      <w:proofErr w:type="gramEnd"/>
      <w:r>
        <w:rPr>
          <w:sz w:val="20"/>
          <w:szCs w:val="20"/>
          <w:lang w:eastAsia="en-GB"/>
        </w:rPr>
        <w:t xml:space="preserve">  </w:t>
      </w:r>
    </w:p>
  </w:footnote>
  <w:footnote w:id="3">
    <w:p w:rsidR="00C30980" w:rsidRDefault="00C30980">
      <w:pPr>
        <w:pStyle w:val="FootnoteText"/>
      </w:pPr>
      <w:r>
        <w:rPr>
          <w:rStyle w:val="FootnoteReference"/>
        </w:rPr>
        <w:footnoteRef/>
      </w:r>
      <w:r>
        <w:t xml:space="preserve"> Email 03 February 2012</w:t>
      </w:r>
    </w:p>
  </w:footnote>
  <w:footnote w:id="4">
    <w:p w:rsidR="00C30980" w:rsidRDefault="00C30980">
      <w:pPr>
        <w:pStyle w:val="FootnoteText"/>
      </w:pPr>
      <w:r>
        <w:rPr>
          <w:rStyle w:val="FootnoteReference"/>
        </w:rPr>
        <w:footnoteRef/>
      </w:r>
      <w:r>
        <w:t xml:space="preserve"> </w:t>
      </w:r>
      <w:r w:rsidRPr="002F061A">
        <w:rPr>
          <w:i/>
          <w:lang w:eastAsia="en-GB"/>
        </w:rPr>
        <w:t>Special educational needs and disability review: s</w:t>
      </w:r>
      <w:r>
        <w:rPr>
          <w:i/>
          <w:lang w:eastAsia="en-GB"/>
        </w:rPr>
        <w:t xml:space="preserve">tatements are not enough </w:t>
      </w:r>
      <w:r w:rsidRPr="002F061A">
        <w:rPr>
          <w:lang w:eastAsia="en-GB"/>
        </w:rPr>
        <w:t xml:space="preserve">14 September 2010  </w:t>
      </w:r>
      <w:r>
        <w:rPr>
          <w:lang w:eastAsia="en-GB"/>
        </w:rPr>
        <w:t>(Ofsted, 2010)</w:t>
      </w:r>
    </w:p>
  </w:footnote>
  <w:footnote w:id="5">
    <w:p w:rsidR="00C30980" w:rsidRDefault="00C30980">
      <w:pPr>
        <w:pStyle w:val="FootnoteText"/>
      </w:pPr>
      <w:r>
        <w:rPr>
          <w:rStyle w:val="FootnoteReference"/>
        </w:rPr>
        <w:footnoteRef/>
      </w:r>
      <w:r>
        <w:t xml:space="preserve"> </w:t>
      </w:r>
      <w:r>
        <w:rPr>
          <w:i/>
        </w:rPr>
        <w:t>Progression post-16 for learners with learning difficulties and/or disabilities</w:t>
      </w:r>
      <w:r>
        <w:t xml:space="preserve"> August 2011 (Ofsted, 2011)</w:t>
      </w:r>
    </w:p>
  </w:footnote>
  <w:footnote w:id="6">
    <w:p w:rsidR="00C30980" w:rsidRPr="0003749A" w:rsidRDefault="00C30980" w:rsidP="0003749A">
      <w:pPr>
        <w:autoSpaceDE w:val="0"/>
        <w:autoSpaceDN w:val="0"/>
        <w:adjustRightInd w:val="0"/>
        <w:spacing w:after="0" w:line="240" w:lineRule="auto"/>
        <w:rPr>
          <w:sz w:val="20"/>
          <w:szCs w:val="20"/>
        </w:rPr>
      </w:pPr>
      <w:r w:rsidRPr="0003749A">
        <w:rPr>
          <w:rStyle w:val="FootnoteReference"/>
          <w:sz w:val="20"/>
          <w:szCs w:val="20"/>
        </w:rPr>
        <w:footnoteRef/>
      </w:r>
      <w:r w:rsidRPr="0003749A">
        <w:rPr>
          <w:sz w:val="20"/>
          <w:szCs w:val="20"/>
        </w:rPr>
        <w:t xml:space="preserve"> </w:t>
      </w:r>
      <w:r>
        <w:rPr>
          <w:sz w:val="20"/>
          <w:szCs w:val="20"/>
        </w:rPr>
        <w:t>‘</w:t>
      </w:r>
      <w:r w:rsidRPr="0003749A">
        <w:rPr>
          <w:rFonts w:cs="ArialMT"/>
          <w:sz w:val="20"/>
          <w:szCs w:val="20"/>
        </w:rPr>
        <w:t>Learners who self-declare a learni</w:t>
      </w:r>
      <w:r>
        <w:rPr>
          <w:rFonts w:cs="ArialMT"/>
          <w:sz w:val="20"/>
          <w:szCs w:val="20"/>
        </w:rPr>
        <w:t xml:space="preserve">ng difficulty and/or disability </w:t>
      </w:r>
      <w:r w:rsidRPr="0003749A">
        <w:rPr>
          <w:rFonts w:cs="ArialMT"/>
          <w:sz w:val="20"/>
          <w:szCs w:val="20"/>
        </w:rPr>
        <w:t>form a</w:t>
      </w:r>
      <w:r>
        <w:rPr>
          <w:rFonts w:cs="ArialMT"/>
          <w:sz w:val="20"/>
          <w:szCs w:val="20"/>
        </w:rPr>
        <w:t xml:space="preserve"> </w:t>
      </w:r>
      <w:r w:rsidRPr="0003749A">
        <w:rPr>
          <w:rFonts w:cs="ArialMT"/>
          <w:sz w:val="20"/>
          <w:szCs w:val="20"/>
        </w:rPr>
        <w:t>significant and increasing proportion of all LSC-funded learners</w:t>
      </w:r>
      <w:r>
        <w:rPr>
          <w:rFonts w:cs="ArialMT"/>
          <w:sz w:val="20"/>
          <w:szCs w:val="20"/>
        </w:rPr>
        <w:t>’ (LSC, 2010:5)</w:t>
      </w:r>
      <w:r w:rsidRPr="0003749A">
        <w:rPr>
          <w:rFonts w:cs="ArialMT"/>
          <w:sz w:val="20"/>
          <w:szCs w:val="20"/>
        </w:rPr>
        <w:t>.</w:t>
      </w:r>
    </w:p>
  </w:footnote>
  <w:footnote w:id="7">
    <w:p w:rsidR="00C30980" w:rsidRPr="00254B9A" w:rsidRDefault="00C30980" w:rsidP="0030764B">
      <w:pPr>
        <w:autoSpaceDE w:val="0"/>
        <w:autoSpaceDN w:val="0"/>
        <w:adjustRightInd w:val="0"/>
        <w:spacing w:after="0" w:line="240" w:lineRule="auto"/>
        <w:rPr>
          <w:i/>
          <w:sz w:val="20"/>
          <w:szCs w:val="20"/>
        </w:rPr>
      </w:pPr>
      <w:r w:rsidRPr="00254B9A">
        <w:rPr>
          <w:rStyle w:val="FootnoteReference"/>
          <w:sz w:val="20"/>
          <w:szCs w:val="20"/>
        </w:rPr>
        <w:footnoteRef/>
      </w:r>
      <w:r>
        <w:rPr>
          <w:sz w:val="20"/>
          <w:szCs w:val="20"/>
        </w:rPr>
        <w:t xml:space="preserve"> </w:t>
      </w:r>
      <w:proofErr w:type="gramStart"/>
      <w:r>
        <w:rPr>
          <w:sz w:val="20"/>
          <w:szCs w:val="20"/>
        </w:rPr>
        <w:t>Tomlinson(</w:t>
      </w:r>
      <w:proofErr w:type="gramEnd"/>
      <w:r>
        <w:rPr>
          <w:sz w:val="20"/>
          <w:szCs w:val="20"/>
        </w:rPr>
        <w:t>1996) page 57 where 126,500 includes all students of whom 50.8 per cent were aged 25 and over.  See also</w:t>
      </w:r>
      <w:r w:rsidRPr="00254B9A">
        <w:rPr>
          <w:sz w:val="20"/>
          <w:szCs w:val="20"/>
        </w:rPr>
        <w:t xml:space="preserve"> LSC (2005) </w:t>
      </w:r>
      <w:r w:rsidRPr="00254B9A">
        <w:rPr>
          <w:i/>
          <w:sz w:val="20"/>
          <w:szCs w:val="20"/>
        </w:rPr>
        <w:t xml:space="preserve">Through Inclusion to Excellence: </w:t>
      </w:r>
      <w:r w:rsidRPr="00254B9A">
        <w:rPr>
          <w:rFonts w:cs="Bliss-Regular"/>
          <w:sz w:val="20"/>
          <w:szCs w:val="20"/>
        </w:rPr>
        <w:t>The Report of the Steering Group for the Strategic</w:t>
      </w:r>
      <w:r>
        <w:rPr>
          <w:rFonts w:cs="Bliss-Regular"/>
          <w:sz w:val="20"/>
          <w:szCs w:val="20"/>
        </w:rPr>
        <w:t xml:space="preserve"> </w:t>
      </w:r>
      <w:r w:rsidRPr="00254B9A">
        <w:rPr>
          <w:rFonts w:cs="Bliss-Regular"/>
          <w:sz w:val="20"/>
          <w:szCs w:val="20"/>
        </w:rPr>
        <w:t>Review of the LSC’s Planning and Funding of</w:t>
      </w:r>
      <w:r>
        <w:rPr>
          <w:rFonts w:cs="Bliss-Regular"/>
          <w:sz w:val="20"/>
          <w:szCs w:val="20"/>
        </w:rPr>
        <w:t xml:space="preserve"> </w:t>
      </w:r>
      <w:r w:rsidRPr="00254B9A">
        <w:rPr>
          <w:rFonts w:cs="Bliss-Regular"/>
          <w:sz w:val="20"/>
          <w:szCs w:val="20"/>
        </w:rPr>
        <w:t>Provision for Learners with Learning Difficulties</w:t>
      </w:r>
      <w:r>
        <w:rPr>
          <w:rFonts w:cs="Bliss-Regular"/>
          <w:sz w:val="20"/>
          <w:szCs w:val="20"/>
        </w:rPr>
        <w:t xml:space="preserve"> </w:t>
      </w:r>
      <w:r w:rsidRPr="00254B9A">
        <w:rPr>
          <w:rFonts w:cs="Bliss-Regular"/>
          <w:sz w:val="20"/>
          <w:szCs w:val="20"/>
        </w:rPr>
        <w:t>and/or Disabilities across the Post-16 Learning and</w:t>
      </w:r>
      <w:r>
        <w:rPr>
          <w:rFonts w:cs="Bliss-Regular"/>
          <w:sz w:val="20"/>
          <w:szCs w:val="20"/>
        </w:rPr>
        <w:t xml:space="preserve"> Skills </w:t>
      </w:r>
      <w:proofErr w:type="gramStart"/>
      <w:r>
        <w:rPr>
          <w:rFonts w:cs="Bliss-Regular"/>
          <w:sz w:val="20"/>
          <w:szCs w:val="20"/>
        </w:rPr>
        <w:t>Sector  Coventry</w:t>
      </w:r>
      <w:proofErr w:type="gramEnd"/>
      <w:r>
        <w:rPr>
          <w:rFonts w:cs="Bliss-Regular"/>
          <w:sz w:val="20"/>
          <w:szCs w:val="20"/>
        </w:rPr>
        <w:t>, Learning and Skills Council.  See also LSC (2010) page 63</w:t>
      </w:r>
    </w:p>
  </w:footnote>
  <w:footnote w:id="8">
    <w:p w:rsidR="00C30980" w:rsidRPr="00254B9A" w:rsidRDefault="00C30980" w:rsidP="00CD2418">
      <w:pPr>
        <w:autoSpaceDE w:val="0"/>
        <w:autoSpaceDN w:val="0"/>
        <w:adjustRightInd w:val="0"/>
        <w:spacing w:after="0" w:line="240" w:lineRule="auto"/>
        <w:rPr>
          <w:rFonts w:cs="Bliss-Regular"/>
          <w:sz w:val="20"/>
          <w:szCs w:val="20"/>
        </w:rPr>
      </w:pPr>
      <w:r>
        <w:rPr>
          <w:rStyle w:val="FootnoteReference"/>
        </w:rPr>
        <w:footnoteRef/>
      </w:r>
      <w:r>
        <w:t xml:space="preserve"> </w:t>
      </w:r>
      <w:r w:rsidRPr="00254B9A">
        <w:rPr>
          <w:sz w:val="20"/>
          <w:szCs w:val="20"/>
        </w:rPr>
        <w:t xml:space="preserve">LSC (2005) </w:t>
      </w:r>
      <w:r w:rsidRPr="00254B9A">
        <w:rPr>
          <w:i/>
          <w:sz w:val="20"/>
          <w:szCs w:val="20"/>
        </w:rPr>
        <w:t xml:space="preserve">Through Inclusion to Excellence: </w:t>
      </w:r>
      <w:r w:rsidRPr="00254B9A">
        <w:rPr>
          <w:rFonts w:cs="Bliss-Regular"/>
          <w:sz w:val="20"/>
          <w:szCs w:val="20"/>
        </w:rPr>
        <w:t>The Report of the Steering Group for the Strategic</w:t>
      </w:r>
    </w:p>
    <w:p w:rsidR="00C30980" w:rsidRPr="00254B9A" w:rsidRDefault="00C30980" w:rsidP="00CD2418">
      <w:pPr>
        <w:autoSpaceDE w:val="0"/>
        <w:autoSpaceDN w:val="0"/>
        <w:adjustRightInd w:val="0"/>
        <w:spacing w:after="0" w:line="240" w:lineRule="auto"/>
        <w:rPr>
          <w:rFonts w:cs="Bliss-Regular"/>
          <w:sz w:val="20"/>
          <w:szCs w:val="20"/>
        </w:rPr>
      </w:pPr>
      <w:r w:rsidRPr="00254B9A">
        <w:rPr>
          <w:rFonts w:cs="Bliss-Regular"/>
          <w:sz w:val="20"/>
          <w:szCs w:val="20"/>
        </w:rPr>
        <w:t>Review of the LSC’s Planning and Funding of</w:t>
      </w:r>
      <w:r>
        <w:rPr>
          <w:rFonts w:cs="Bliss-Regular"/>
          <w:sz w:val="20"/>
          <w:szCs w:val="20"/>
        </w:rPr>
        <w:t xml:space="preserve"> </w:t>
      </w:r>
      <w:r w:rsidRPr="00254B9A">
        <w:rPr>
          <w:rFonts w:cs="Bliss-Regular"/>
          <w:sz w:val="20"/>
          <w:szCs w:val="20"/>
        </w:rPr>
        <w:t>Provision for Learners with Learning Difficulties</w:t>
      </w:r>
    </w:p>
    <w:p w:rsidR="00C30980" w:rsidRPr="006E514D" w:rsidRDefault="00C30980" w:rsidP="006E514D">
      <w:pPr>
        <w:autoSpaceDE w:val="0"/>
        <w:autoSpaceDN w:val="0"/>
        <w:adjustRightInd w:val="0"/>
        <w:spacing w:after="0" w:line="240" w:lineRule="auto"/>
        <w:rPr>
          <w:rFonts w:cs="Bliss-Light"/>
          <w:i/>
          <w:sz w:val="20"/>
          <w:szCs w:val="20"/>
        </w:rPr>
      </w:pPr>
      <w:r w:rsidRPr="006E514D">
        <w:rPr>
          <w:rFonts w:cs="Bliss-Regular"/>
          <w:sz w:val="20"/>
          <w:szCs w:val="20"/>
        </w:rPr>
        <w:t>and/or Disabilities across the Post-16 Learning and Skills Sector  Coventry, Learning and Skills Council</w:t>
      </w:r>
      <w:r>
        <w:rPr>
          <w:rFonts w:cs="Bliss-Regular"/>
          <w:sz w:val="20"/>
          <w:szCs w:val="20"/>
        </w:rPr>
        <w:t xml:space="preserve">, </w:t>
      </w:r>
      <w:r w:rsidRPr="006E514D">
        <w:rPr>
          <w:rFonts w:cs="Bliss-Regular"/>
          <w:sz w:val="20"/>
          <w:szCs w:val="20"/>
        </w:rPr>
        <w:t>extrapolated</w:t>
      </w:r>
      <w:r>
        <w:rPr>
          <w:rFonts w:cs="Bliss-Regular"/>
          <w:sz w:val="20"/>
          <w:szCs w:val="20"/>
        </w:rPr>
        <w:t xml:space="preserve"> from,</w:t>
      </w:r>
      <w:r w:rsidRPr="006E514D">
        <w:rPr>
          <w:rFonts w:cs="Bliss-Regular"/>
          <w:sz w:val="20"/>
          <w:szCs w:val="20"/>
        </w:rPr>
        <w:t xml:space="preserve"> ‘</w:t>
      </w:r>
      <w:r w:rsidRPr="006E514D">
        <w:rPr>
          <w:rFonts w:cs="Bliss-Light"/>
          <w:i/>
          <w:sz w:val="20"/>
          <w:szCs w:val="20"/>
        </w:rPr>
        <w:t>In 2003-4 there were 579,000 learners who self-declared a learning difficulty and/or disability. This represented around 11 per cent of the LSC’s total fulltime</w:t>
      </w:r>
    </w:p>
    <w:p w:rsidR="00C30980" w:rsidRDefault="00C30980" w:rsidP="000D3C0B">
      <w:pPr>
        <w:autoSpaceDE w:val="0"/>
        <w:autoSpaceDN w:val="0"/>
        <w:adjustRightInd w:val="0"/>
        <w:spacing w:after="0" w:line="240" w:lineRule="auto"/>
      </w:pPr>
      <w:proofErr w:type="gramStart"/>
      <w:r w:rsidRPr="006E514D">
        <w:rPr>
          <w:rFonts w:cs="Bliss-Light"/>
          <w:i/>
          <w:sz w:val="20"/>
          <w:szCs w:val="20"/>
        </w:rPr>
        <w:t>equivalents</w:t>
      </w:r>
      <w:proofErr w:type="gramEnd"/>
      <w:r w:rsidRPr="006E514D">
        <w:rPr>
          <w:rFonts w:cs="Bliss-Light"/>
          <w:i/>
          <w:sz w:val="20"/>
          <w:szCs w:val="20"/>
        </w:rPr>
        <w:t>, and the total cost was around £1.3 billion. Around 71 per cent were adults over 19 years of age. The largest cohort was in the Further Education sector (382,000), compared to 3,038 in</w:t>
      </w:r>
      <w:r w:rsidRPr="006E514D">
        <w:rPr>
          <w:rFonts w:ascii="Bliss-Light" w:hAnsi="Bliss-Light" w:cs="Bliss-Light"/>
          <w:i/>
          <w:sz w:val="20"/>
          <w:szCs w:val="20"/>
        </w:rPr>
        <w:t xml:space="preserve"> specialist colleges for learners with learning difficulties and/or disabilities</w:t>
      </w:r>
      <w:r>
        <w:rPr>
          <w:rFonts w:ascii="Bliss-Light" w:hAnsi="Bliss-Light" w:cs="Bliss-Light"/>
          <w:i/>
          <w:sz w:val="20"/>
          <w:szCs w:val="20"/>
        </w:rPr>
        <w:t>’</w:t>
      </w:r>
      <w:r w:rsidRPr="006E514D">
        <w:rPr>
          <w:rFonts w:ascii="Bliss-Light" w:hAnsi="Bliss-Light" w:cs="Bliss-Light"/>
          <w:i/>
          <w:sz w:val="20"/>
          <w:szCs w:val="20"/>
        </w:rPr>
        <w:t xml:space="preserve"> </w:t>
      </w:r>
      <w:r>
        <w:rPr>
          <w:rFonts w:ascii="Bliss-Light" w:hAnsi="Bliss-Light" w:cs="Bliss-Light"/>
          <w:sz w:val="20"/>
          <w:szCs w:val="20"/>
        </w:rPr>
        <w:t>(LSC, 2005:1).  Some 337,000 were over the age of 25 (LSC, 2005:8).</w:t>
      </w:r>
    </w:p>
  </w:footnote>
  <w:footnote w:id="9">
    <w:p w:rsidR="00C30980" w:rsidRPr="00E37F3F" w:rsidRDefault="00C30980">
      <w:pPr>
        <w:pStyle w:val="FootnoteText"/>
      </w:pPr>
      <w:r w:rsidRPr="00E37F3F">
        <w:rPr>
          <w:rStyle w:val="FootnoteReference"/>
        </w:rPr>
        <w:footnoteRef/>
      </w:r>
      <w:r w:rsidRPr="00E37F3F">
        <w:t xml:space="preserve"> LSC (2010) </w:t>
      </w:r>
      <w:r w:rsidRPr="00E37F3F">
        <w:rPr>
          <w:i/>
        </w:rPr>
        <w:t>Impact of Changes in Provision for People with Learning Difficulties and/or Disabilities: Final Report</w:t>
      </w:r>
      <w:r w:rsidRPr="00E37F3F">
        <w:t xml:space="preserve"> Coventry, Learning and Skills Council January 2010</w:t>
      </w:r>
    </w:p>
  </w:footnote>
  <w:footnote w:id="10">
    <w:p w:rsidR="00C30980" w:rsidRDefault="00C30980" w:rsidP="00E37F3F">
      <w:pPr>
        <w:spacing w:line="240" w:lineRule="auto"/>
        <w:rPr>
          <w:sz w:val="20"/>
          <w:szCs w:val="20"/>
        </w:rPr>
      </w:pPr>
      <w:r w:rsidRPr="00E37F3F">
        <w:rPr>
          <w:rStyle w:val="FootnoteReference"/>
          <w:sz w:val="20"/>
          <w:szCs w:val="20"/>
        </w:rPr>
        <w:footnoteRef/>
      </w:r>
      <w:r w:rsidRPr="00E37F3F">
        <w:rPr>
          <w:sz w:val="20"/>
          <w:szCs w:val="20"/>
        </w:rPr>
        <w:t xml:space="preserve"> They illustrated the point with this table:</w:t>
      </w:r>
    </w:p>
    <w:p w:rsidR="00C30980" w:rsidRPr="00E37F3F" w:rsidRDefault="00C30980" w:rsidP="00E37F3F">
      <w:pPr>
        <w:spacing w:line="240" w:lineRule="auto"/>
        <w:rPr>
          <w:rFonts w:cs="Arial-BoldMT"/>
          <w:b/>
          <w:bCs/>
          <w:sz w:val="20"/>
          <w:szCs w:val="20"/>
        </w:rPr>
      </w:pPr>
      <w:r w:rsidRPr="00E37F3F">
        <w:rPr>
          <w:rFonts w:cs="Arial-BoldMT"/>
          <w:b/>
          <w:bCs/>
          <w:sz w:val="20"/>
          <w:szCs w:val="20"/>
        </w:rPr>
        <w:t>Table: Adult learners enrolled in FE colleges, 2004/05 to 2006/07 (including PCDL provision where delivered)</w:t>
      </w:r>
    </w:p>
    <w:p w:rsidR="00C30980" w:rsidRPr="00E37F3F" w:rsidRDefault="00C30980" w:rsidP="00E37F3F">
      <w:pPr>
        <w:autoSpaceDE w:val="0"/>
        <w:autoSpaceDN w:val="0"/>
        <w:adjustRightInd w:val="0"/>
        <w:spacing w:after="0" w:line="240" w:lineRule="auto"/>
        <w:ind w:left="3600" w:firstLine="720"/>
        <w:rPr>
          <w:rFonts w:cs="Arial-BoldMT"/>
          <w:b/>
          <w:bCs/>
          <w:sz w:val="20"/>
          <w:szCs w:val="20"/>
        </w:rPr>
      </w:pPr>
      <w:r w:rsidRPr="00E37F3F">
        <w:rPr>
          <w:rFonts w:cs="Arial-BoldMT"/>
          <w:b/>
          <w:bCs/>
          <w:sz w:val="20"/>
          <w:szCs w:val="20"/>
        </w:rPr>
        <w:t>2004/05</w:t>
      </w:r>
      <w:r w:rsidRPr="00E37F3F">
        <w:rPr>
          <w:rFonts w:cs="Arial-BoldMT"/>
          <w:b/>
          <w:bCs/>
          <w:sz w:val="20"/>
          <w:szCs w:val="20"/>
        </w:rPr>
        <w:tab/>
        <w:t xml:space="preserve"> 2005/06</w:t>
      </w:r>
      <w:r w:rsidRPr="00E37F3F">
        <w:rPr>
          <w:rFonts w:cs="Arial-BoldMT"/>
          <w:b/>
          <w:bCs/>
          <w:sz w:val="20"/>
          <w:szCs w:val="20"/>
        </w:rPr>
        <w:tab/>
        <w:t xml:space="preserve"> 2006/07</w:t>
      </w:r>
    </w:p>
    <w:p w:rsidR="00C30980" w:rsidRPr="00E37F3F" w:rsidRDefault="00C30980" w:rsidP="00E37F3F">
      <w:pPr>
        <w:autoSpaceDE w:val="0"/>
        <w:autoSpaceDN w:val="0"/>
        <w:adjustRightInd w:val="0"/>
        <w:spacing w:after="0" w:line="240" w:lineRule="auto"/>
        <w:ind w:left="720"/>
        <w:rPr>
          <w:rFonts w:cs="ArialMT"/>
          <w:sz w:val="20"/>
          <w:szCs w:val="20"/>
        </w:rPr>
      </w:pPr>
      <w:r w:rsidRPr="00E37F3F">
        <w:rPr>
          <w:rFonts w:cs="ArialMT"/>
          <w:sz w:val="20"/>
          <w:szCs w:val="20"/>
        </w:rPr>
        <w:t xml:space="preserve">Learners with disability </w:t>
      </w:r>
      <w:r w:rsidRPr="00E37F3F">
        <w:rPr>
          <w:rFonts w:cs="ArialMT"/>
          <w:sz w:val="20"/>
          <w:szCs w:val="20"/>
        </w:rPr>
        <w:tab/>
      </w:r>
      <w:r>
        <w:rPr>
          <w:rFonts w:cs="ArialMT"/>
          <w:sz w:val="20"/>
          <w:szCs w:val="20"/>
        </w:rPr>
        <w:tab/>
      </w:r>
      <w:r w:rsidRPr="00E37F3F">
        <w:rPr>
          <w:rFonts w:cs="ArialMT"/>
          <w:sz w:val="20"/>
          <w:szCs w:val="20"/>
        </w:rPr>
        <w:t>122,987</w:t>
      </w:r>
      <w:r w:rsidRPr="00E37F3F">
        <w:rPr>
          <w:rFonts w:cs="ArialMT"/>
          <w:sz w:val="20"/>
          <w:szCs w:val="20"/>
        </w:rPr>
        <w:tab/>
        <w:t xml:space="preserve"> </w:t>
      </w:r>
      <w:r>
        <w:rPr>
          <w:rFonts w:cs="ArialMT"/>
          <w:sz w:val="20"/>
          <w:szCs w:val="20"/>
        </w:rPr>
        <w:tab/>
      </w:r>
      <w:r w:rsidRPr="00E37F3F">
        <w:rPr>
          <w:rFonts w:cs="ArialMT"/>
          <w:sz w:val="20"/>
          <w:szCs w:val="20"/>
        </w:rPr>
        <w:t>114,021</w:t>
      </w:r>
      <w:r w:rsidRPr="00E37F3F">
        <w:rPr>
          <w:rFonts w:cs="ArialMT"/>
          <w:sz w:val="20"/>
          <w:szCs w:val="20"/>
        </w:rPr>
        <w:tab/>
        <w:t xml:space="preserve"> </w:t>
      </w:r>
      <w:r>
        <w:rPr>
          <w:rFonts w:cs="ArialMT"/>
          <w:sz w:val="20"/>
          <w:szCs w:val="20"/>
        </w:rPr>
        <w:tab/>
      </w:r>
      <w:r w:rsidRPr="00E37F3F">
        <w:rPr>
          <w:rFonts w:cs="ArialMT"/>
          <w:sz w:val="20"/>
          <w:szCs w:val="20"/>
        </w:rPr>
        <w:t>100,285</w:t>
      </w:r>
    </w:p>
    <w:p w:rsidR="00C30980" w:rsidRPr="00E37F3F" w:rsidRDefault="00C30980" w:rsidP="00E37F3F">
      <w:pPr>
        <w:autoSpaceDE w:val="0"/>
        <w:autoSpaceDN w:val="0"/>
        <w:adjustRightInd w:val="0"/>
        <w:spacing w:after="0" w:line="240" w:lineRule="auto"/>
        <w:ind w:left="720"/>
        <w:rPr>
          <w:rFonts w:cs="ArialMT"/>
          <w:sz w:val="20"/>
          <w:szCs w:val="20"/>
        </w:rPr>
      </w:pPr>
      <w:r w:rsidRPr="00E37F3F">
        <w:rPr>
          <w:rFonts w:cs="ArialMT"/>
          <w:sz w:val="20"/>
          <w:szCs w:val="20"/>
        </w:rPr>
        <w:t xml:space="preserve">Learners with learning difficulty </w:t>
      </w:r>
      <w:r w:rsidRPr="00E37F3F">
        <w:rPr>
          <w:rFonts w:cs="ArialMT"/>
          <w:sz w:val="20"/>
          <w:szCs w:val="20"/>
        </w:rPr>
        <w:tab/>
        <w:t>34,410</w:t>
      </w:r>
      <w:r w:rsidRPr="00E37F3F">
        <w:rPr>
          <w:rFonts w:cs="ArialMT"/>
          <w:sz w:val="20"/>
          <w:szCs w:val="20"/>
        </w:rPr>
        <w:tab/>
      </w:r>
      <w:r w:rsidRPr="00E37F3F">
        <w:rPr>
          <w:rFonts w:cs="ArialMT"/>
          <w:sz w:val="20"/>
          <w:szCs w:val="20"/>
        </w:rPr>
        <w:tab/>
        <w:t xml:space="preserve"> 32,832</w:t>
      </w:r>
      <w:r w:rsidRPr="00E37F3F">
        <w:rPr>
          <w:rFonts w:cs="ArialMT"/>
          <w:sz w:val="20"/>
          <w:szCs w:val="20"/>
        </w:rPr>
        <w:tab/>
      </w:r>
      <w:r>
        <w:rPr>
          <w:rFonts w:cs="ArialMT"/>
          <w:sz w:val="20"/>
          <w:szCs w:val="20"/>
        </w:rPr>
        <w:tab/>
      </w:r>
      <w:r w:rsidRPr="00E37F3F">
        <w:rPr>
          <w:rFonts w:cs="ArialMT"/>
          <w:sz w:val="20"/>
          <w:szCs w:val="20"/>
        </w:rPr>
        <w:t xml:space="preserve"> 29,611</w:t>
      </w:r>
    </w:p>
    <w:p w:rsidR="00C30980" w:rsidRPr="00E37F3F" w:rsidRDefault="00C30980" w:rsidP="00E37F3F">
      <w:pPr>
        <w:autoSpaceDE w:val="0"/>
        <w:autoSpaceDN w:val="0"/>
        <w:adjustRightInd w:val="0"/>
        <w:spacing w:after="0" w:line="240" w:lineRule="auto"/>
        <w:ind w:left="720"/>
        <w:rPr>
          <w:rFonts w:cs="Arial-ItalicMT"/>
          <w:i/>
          <w:iCs/>
          <w:sz w:val="20"/>
          <w:szCs w:val="20"/>
        </w:rPr>
      </w:pPr>
      <w:r w:rsidRPr="00E37F3F">
        <w:rPr>
          <w:rFonts w:cs="Arial-ItalicMT"/>
          <w:i/>
          <w:iCs/>
          <w:sz w:val="20"/>
          <w:szCs w:val="20"/>
        </w:rPr>
        <w:t xml:space="preserve">All learners </w:t>
      </w:r>
      <w:r w:rsidRPr="00E37F3F">
        <w:rPr>
          <w:rFonts w:cs="Arial-ItalicMT"/>
          <w:i/>
          <w:iCs/>
          <w:sz w:val="20"/>
          <w:szCs w:val="20"/>
        </w:rPr>
        <w:tab/>
      </w:r>
      <w:r w:rsidRPr="00E37F3F">
        <w:rPr>
          <w:rFonts w:cs="Arial-ItalicMT"/>
          <w:i/>
          <w:iCs/>
          <w:sz w:val="20"/>
          <w:szCs w:val="20"/>
        </w:rPr>
        <w:tab/>
      </w:r>
      <w:r w:rsidRPr="00E37F3F">
        <w:rPr>
          <w:rFonts w:cs="Arial-ItalicMT"/>
          <w:i/>
          <w:iCs/>
          <w:sz w:val="20"/>
          <w:szCs w:val="20"/>
        </w:rPr>
        <w:tab/>
      </w:r>
      <w:r w:rsidRPr="00E37F3F">
        <w:rPr>
          <w:rFonts w:cs="Arial-ItalicMT"/>
          <w:i/>
          <w:iCs/>
          <w:sz w:val="20"/>
          <w:szCs w:val="20"/>
        </w:rPr>
        <w:tab/>
        <w:t xml:space="preserve">4,503,493 </w:t>
      </w:r>
      <w:r w:rsidRPr="00E37F3F">
        <w:rPr>
          <w:rFonts w:cs="Arial-ItalicMT"/>
          <w:i/>
          <w:iCs/>
          <w:sz w:val="20"/>
          <w:szCs w:val="20"/>
        </w:rPr>
        <w:tab/>
        <w:t xml:space="preserve">4,006,055 </w:t>
      </w:r>
      <w:r w:rsidRPr="00E37F3F">
        <w:rPr>
          <w:rFonts w:cs="Arial-ItalicMT"/>
          <w:i/>
          <w:iCs/>
          <w:sz w:val="20"/>
          <w:szCs w:val="20"/>
        </w:rPr>
        <w:tab/>
        <w:t>3,365,658</w:t>
      </w:r>
    </w:p>
    <w:p w:rsidR="00C30980" w:rsidRPr="00E37F3F" w:rsidRDefault="00C30980" w:rsidP="00E37F3F">
      <w:pPr>
        <w:spacing w:line="240" w:lineRule="auto"/>
        <w:ind w:left="720"/>
        <w:rPr>
          <w:sz w:val="20"/>
          <w:szCs w:val="20"/>
        </w:rPr>
      </w:pPr>
      <w:r w:rsidRPr="00E37F3F">
        <w:rPr>
          <w:rFonts w:cs="Arial-ItalicMT"/>
          <w:i/>
          <w:iCs/>
          <w:sz w:val="20"/>
          <w:szCs w:val="20"/>
        </w:rPr>
        <w:t xml:space="preserve">Source: IES analysis of LSC’s ILR data (FO5: 2004/05, 2005/06, 2006/07) </w:t>
      </w:r>
      <w:r w:rsidRPr="00E37F3F">
        <w:rPr>
          <w:rFonts w:cs="Arial-ItalicMT"/>
          <w:iCs/>
          <w:sz w:val="20"/>
          <w:szCs w:val="20"/>
        </w:rPr>
        <w:t>(Adapted from LSC, 2010:63)</w:t>
      </w:r>
    </w:p>
  </w:footnote>
  <w:footnote w:id="11">
    <w:p w:rsidR="00C30980" w:rsidRPr="00E37F3F" w:rsidRDefault="00C30980">
      <w:pPr>
        <w:pStyle w:val="FootnoteText"/>
      </w:pPr>
      <w:r w:rsidRPr="00E37F3F">
        <w:rPr>
          <w:rStyle w:val="FootnoteReference"/>
        </w:rPr>
        <w:footnoteRef/>
      </w:r>
      <w:r w:rsidRPr="00E37F3F">
        <w:t xml:space="preserve"> Ofsted, 2011 page 4</w:t>
      </w:r>
    </w:p>
  </w:footnote>
  <w:footnote w:id="12">
    <w:p w:rsidR="00C30980" w:rsidRPr="006D3E63" w:rsidRDefault="00C30980" w:rsidP="003D3F65">
      <w:pPr>
        <w:pStyle w:val="FootnoteText"/>
      </w:pPr>
      <w:r w:rsidRPr="00254B9A">
        <w:rPr>
          <w:rStyle w:val="FootnoteReference"/>
        </w:rPr>
        <w:footnoteRef/>
      </w:r>
      <w:r w:rsidRPr="00254B9A">
        <w:t xml:space="preserve"> Department for Education analysis of the Youth Cohort Study and Longitudinal Study of Young People in England: The Activities and Experiences of 18-year-olds: England 2009, in </w:t>
      </w:r>
      <w:r w:rsidRPr="00254B9A">
        <w:rPr>
          <w:i/>
        </w:rPr>
        <w:t>Support and</w:t>
      </w:r>
      <w:r w:rsidRPr="009E27D8">
        <w:rPr>
          <w:i/>
        </w:rPr>
        <w:t xml:space="preserve"> </w:t>
      </w:r>
      <w:r>
        <w:rPr>
          <w:i/>
        </w:rPr>
        <w:t>a</w:t>
      </w:r>
      <w:r w:rsidRPr="009E27D8">
        <w:rPr>
          <w:i/>
        </w:rPr>
        <w:t>spiration: a new approach to special educational needs and disability</w:t>
      </w:r>
      <w:r w:rsidRPr="009E27D8">
        <w:t>, DfE, 2011</w:t>
      </w:r>
      <w:r>
        <w:t xml:space="preserve">; </w:t>
      </w:r>
      <w:hyperlink r:id="rId1" w:history="1">
        <w:r w:rsidRPr="004E441E">
          <w:rPr>
            <w:rStyle w:val="Hyperlink"/>
          </w:rPr>
          <w:t>www.education.gov.uk/publications/standard/publicationDetail/Page1/CM%208027</w:t>
        </w:r>
      </w:hyperlink>
      <w:r>
        <w:t>.</w:t>
      </w:r>
    </w:p>
  </w:footnote>
  <w:footnote w:id="13">
    <w:p w:rsidR="00C30980" w:rsidRDefault="00C30980" w:rsidP="003D3F65">
      <w:r w:rsidRPr="00107F28">
        <w:rPr>
          <w:rStyle w:val="FootnoteReference"/>
          <w:sz w:val="20"/>
          <w:szCs w:val="20"/>
        </w:rPr>
        <w:footnoteRef/>
      </w:r>
      <w:r>
        <w:t xml:space="preserve"> </w:t>
      </w:r>
      <w:proofErr w:type="gramStart"/>
      <w:r w:rsidRPr="004E441E">
        <w:rPr>
          <w:sz w:val="20"/>
          <w:szCs w:val="20"/>
        </w:rPr>
        <w:t>Labour Force Survey Historical Quarterly Supplement</w:t>
      </w:r>
      <w:r>
        <w:rPr>
          <w:sz w:val="20"/>
          <w:szCs w:val="20"/>
        </w:rPr>
        <w:t>;</w:t>
      </w:r>
      <w:r w:rsidRPr="00CF2CA4">
        <w:rPr>
          <w:sz w:val="20"/>
          <w:szCs w:val="20"/>
        </w:rPr>
        <w:t xml:space="preserve"> </w:t>
      </w:r>
      <w:hyperlink r:id="rId2" w:history="1">
        <w:r w:rsidRPr="004E441E">
          <w:rPr>
            <w:rStyle w:val="Hyperlink"/>
            <w:sz w:val="20"/>
            <w:szCs w:val="20"/>
          </w:rPr>
          <w:t>www.statistics.gov.uk/downloads/theme_labour/LFSHQS/2010/Table01.xls</w:t>
        </w:r>
      </w:hyperlink>
      <w:r>
        <w:rPr>
          <w:sz w:val="20"/>
          <w:szCs w:val="20"/>
        </w:rPr>
        <w:t>.</w:t>
      </w:r>
      <w:proofErr w:type="gramEnd"/>
      <w:r>
        <w:rPr>
          <w:sz w:val="20"/>
          <w:szCs w:val="20"/>
        </w:rPr>
        <w:t xml:space="preserve"> </w:t>
      </w:r>
    </w:p>
  </w:footnote>
  <w:footnote w:id="14">
    <w:p w:rsidR="00C30980" w:rsidRDefault="00C30980">
      <w:pPr>
        <w:pStyle w:val="FootnoteText"/>
      </w:pPr>
      <w:r>
        <w:rPr>
          <w:rStyle w:val="FootnoteReference"/>
        </w:rPr>
        <w:footnoteRef/>
      </w:r>
      <w:r>
        <w:t xml:space="preserve"> Comment from Yola Jacobsen, private correspondence, 23.01.12</w:t>
      </w:r>
    </w:p>
  </w:footnote>
  <w:footnote w:id="15">
    <w:p w:rsidR="00C30980" w:rsidRPr="00CA67DD" w:rsidRDefault="00C30980">
      <w:pPr>
        <w:pStyle w:val="FootnoteText"/>
      </w:pPr>
      <w:r>
        <w:rPr>
          <w:rStyle w:val="FootnoteReference"/>
        </w:rPr>
        <w:footnoteRef/>
      </w:r>
      <w:r>
        <w:t xml:space="preserve"> DfE (March, 2011) </w:t>
      </w:r>
      <w:r>
        <w:rPr>
          <w:rStyle w:val="HTMLCite"/>
          <w:rFonts w:ascii="Arial" w:hAnsi="Arial" w:cs="Arial"/>
          <w:color w:val="000000"/>
          <w:sz w:val="22"/>
          <w:szCs w:val="22"/>
        </w:rPr>
        <w:t>Support and aspiration: A new approach to special educational needs and disability</w:t>
      </w:r>
      <w:r w:rsidRPr="00CA67DD">
        <w:t xml:space="preserve"> </w:t>
      </w:r>
      <w:r>
        <w:t xml:space="preserve">Norwich, TSO.  See </w:t>
      </w:r>
      <w:r>
        <w:rPr>
          <w:i/>
        </w:rPr>
        <w:t>h</w:t>
      </w:r>
      <w:r w:rsidRPr="00CA67DD">
        <w:rPr>
          <w:rStyle w:val="HTMLCite"/>
          <w:rFonts w:ascii="Arial" w:hAnsi="Arial" w:cs="Arial"/>
          <w:color w:val="000000"/>
          <w:sz w:val="22"/>
          <w:szCs w:val="22"/>
        </w:rPr>
        <w:t>ttps://www.education.gov.uk/publications/eOrderingDownload/Green-Paper-SEN.pdf</w:t>
      </w:r>
    </w:p>
  </w:footnote>
  <w:footnote w:id="16">
    <w:p w:rsidR="00C30980" w:rsidRPr="00C30980" w:rsidRDefault="00C30980">
      <w:pPr>
        <w:pStyle w:val="FootnoteText"/>
      </w:pPr>
      <w:r w:rsidRPr="00C30980">
        <w:rPr>
          <w:rStyle w:val="FootnoteReference"/>
        </w:rPr>
        <w:footnoteRef/>
      </w:r>
      <w:r w:rsidRPr="00C30980">
        <w:t xml:space="preserve"> Department of Health (2001) </w:t>
      </w:r>
      <w:r w:rsidRPr="00C30980">
        <w:rPr>
          <w:bCs/>
        </w:rPr>
        <w:t>Valuing people: a new strategy for learning disability for the 21st century - a White Paper Cm 5086  Norwich: HMSO</w:t>
      </w:r>
    </w:p>
  </w:footnote>
  <w:footnote w:id="17">
    <w:p w:rsidR="00C30980" w:rsidRPr="00C30980" w:rsidRDefault="00C30980" w:rsidP="00C30980">
      <w:pPr>
        <w:pStyle w:val="FootnoteText"/>
      </w:pPr>
      <w:r w:rsidRPr="00C30980">
        <w:rPr>
          <w:rStyle w:val="FootnoteReference"/>
        </w:rPr>
        <w:footnoteRef/>
      </w:r>
      <w:r w:rsidRPr="00C30980">
        <w:t xml:space="preserve"> Learning and Skills Council (2009) The Way Forward - Implementing the Vision of Learning for Living and Work (see </w:t>
      </w:r>
      <w:hyperlink r:id="rId3" w:history="1">
        <w:r w:rsidRPr="00C30980">
          <w:rPr>
            <w:rStyle w:val="Hyperlink"/>
          </w:rPr>
          <w:t>http://readingroom.lsc.gov.uk/lsc/National/nat-mentalhealthstrategy-mar09.pdf</w:t>
        </w:r>
      </w:hyperlink>
      <w:r w:rsidRPr="00C30980">
        <w:t>) – a refresh of the October 2006 Strategy.</w:t>
      </w:r>
    </w:p>
  </w:footnote>
  <w:footnote w:id="18">
    <w:p w:rsidR="00C30980" w:rsidRDefault="00C30980">
      <w:pPr>
        <w:pStyle w:val="FootnoteText"/>
      </w:pPr>
      <w:r>
        <w:rPr>
          <w:rStyle w:val="FootnoteReference"/>
        </w:rPr>
        <w:footnoteRef/>
      </w:r>
      <w:r>
        <w:t xml:space="preserve"> HM Government/Department of Health (2011) </w:t>
      </w:r>
      <w:r>
        <w:rPr>
          <w:i/>
        </w:rPr>
        <w:t>No Health without Mental Health: A Cross-Government Mental Health Outcomes Strategy for People of All Ages</w:t>
      </w:r>
      <w:r>
        <w:t xml:space="preserve">  Norwich: HMSO</w:t>
      </w:r>
    </w:p>
  </w:footnote>
  <w:footnote w:id="19">
    <w:p w:rsidR="00C30980" w:rsidRPr="005C7A7C" w:rsidRDefault="00C30980">
      <w:pPr>
        <w:pStyle w:val="FootnoteText"/>
      </w:pPr>
      <w:r>
        <w:rPr>
          <w:rStyle w:val="FootnoteReference"/>
        </w:rPr>
        <w:footnoteRef/>
      </w:r>
      <w:r>
        <w:t xml:space="preserve"> </w:t>
      </w:r>
      <w:proofErr w:type="gramStart"/>
      <w:r>
        <w:rPr>
          <w:i/>
        </w:rPr>
        <w:t xml:space="preserve">Equality Act </w:t>
      </w:r>
      <w:r>
        <w:t xml:space="preserve">(2010) Ch 15 </w:t>
      </w:r>
      <w:hyperlink r:id="rId4" w:history="1">
        <w:r w:rsidRPr="00730F83">
          <w:rPr>
            <w:rStyle w:val="Hyperlink"/>
          </w:rPr>
          <w:t>http://www.legislation.gov.uk/ukpga/2010/15/pdfs/ukpga_20100015_en.pdf</w:t>
        </w:r>
      </w:hyperlink>
      <w:r>
        <w:t xml:space="preserve"> [accessed 23.01.12].</w:t>
      </w:r>
      <w:proofErr w:type="gramEnd"/>
      <w:r>
        <w:t xml:space="preserve">  Equality and Human Rights Commission </w:t>
      </w:r>
      <w:r>
        <w:rPr>
          <w:i/>
        </w:rPr>
        <w:t>Service Providers’ Information</w:t>
      </w:r>
      <w:r>
        <w:t xml:space="preserve"> </w:t>
      </w:r>
      <w:hyperlink r:id="rId5" w:anchor="What_is_the_public_sector_equality_duty_" w:history="1">
        <w:r w:rsidRPr="00730F83">
          <w:rPr>
            <w:rStyle w:val="Hyperlink"/>
          </w:rPr>
          <w:t>http://www.equalityhumanrights.com/advice-and-guidance/public-sector-equality-duty/faqs-on-the-equality-duty/#What_is_the_public_sector_equality_duty_</w:t>
        </w:r>
      </w:hyperlink>
      <w:r>
        <w:t xml:space="preserve"> [accessed 23.01.12].</w:t>
      </w:r>
    </w:p>
  </w:footnote>
  <w:footnote w:id="20">
    <w:p w:rsidR="00C30980" w:rsidRPr="005A19AB" w:rsidRDefault="00C30980">
      <w:pPr>
        <w:pStyle w:val="FootnoteText"/>
      </w:pPr>
      <w:r>
        <w:rPr>
          <w:rStyle w:val="FootnoteReference"/>
        </w:rPr>
        <w:footnoteRef/>
      </w:r>
      <w:r>
        <w:t xml:space="preserve"> Judt, T (2011) </w:t>
      </w:r>
      <w:r>
        <w:rPr>
          <w:i/>
        </w:rPr>
        <w:t>Ill Fares the Land: A Treatise On Our Present Discontents</w:t>
      </w:r>
      <w:r>
        <w:t xml:space="preserve"> London, Penguin</w:t>
      </w:r>
    </w:p>
  </w:footnote>
  <w:footnote w:id="21">
    <w:p w:rsidR="00C30980" w:rsidRPr="00DC360C" w:rsidRDefault="00C30980">
      <w:pPr>
        <w:pStyle w:val="FootnoteText"/>
      </w:pPr>
      <w:r>
        <w:rPr>
          <w:rStyle w:val="FootnoteReference"/>
        </w:rPr>
        <w:footnoteRef/>
      </w:r>
      <w:r>
        <w:t xml:space="preserve"> Wilkinson, R and Pickett, K (2009) </w:t>
      </w:r>
      <w:r>
        <w:rPr>
          <w:i/>
        </w:rPr>
        <w:t xml:space="preserve">The Spirit Level: Why Do More Equal Societies Almost Always Do Better </w:t>
      </w:r>
      <w:r>
        <w:t>London, Allen Lane, 2009</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47885"/>
    <w:multiLevelType w:val="hybridMultilevel"/>
    <w:tmpl w:val="57C236C6"/>
    <w:lvl w:ilvl="0" w:tplc="64CAFAC8">
      <w:start w:val="1"/>
      <w:numFmt w:val="bullet"/>
      <w:pStyle w:val="Bulletsspaced"/>
      <w:lvlText w:val=""/>
      <w:lvlJc w:val="left"/>
      <w:pPr>
        <w:tabs>
          <w:tab w:val="num" w:pos="927"/>
        </w:tabs>
        <w:ind w:left="927" w:hanging="360"/>
      </w:pPr>
      <w:rPr>
        <w:rFonts w:ascii="Wingdings" w:hAnsi="Wingdings" w:hint="default"/>
      </w:rPr>
    </w:lvl>
    <w:lvl w:ilvl="1" w:tplc="9648D2FC">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BFB58DC"/>
    <w:multiLevelType w:val="hybridMultilevel"/>
    <w:tmpl w:val="809081C8"/>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
    <w:nsid w:val="140C502A"/>
    <w:multiLevelType w:val="hybridMultilevel"/>
    <w:tmpl w:val="FB7A3F38"/>
    <w:lvl w:ilvl="0" w:tplc="B9F68040">
      <w:start w:val="1"/>
      <w:numFmt w:val="decimal"/>
      <w:pStyle w:val="Numberedparagraph"/>
      <w:lvlText w:val="%1."/>
      <w:lvlJc w:val="left"/>
      <w:pPr>
        <w:tabs>
          <w:tab w:val="num" w:pos="1107"/>
        </w:tabs>
        <w:ind w:left="540" w:firstLine="0"/>
      </w:pPr>
      <w:rPr>
        <w:rFonts w:ascii="Tahoma" w:hAnsi="Tahoma" w:hint="default"/>
        <w:b w:val="0"/>
        <w:i w:val="0"/>
        <w:sz w:val="24"/>
        <w:szCs w:val="24"/>
      </w:rPr>
    </w:lvl>
    <w:lvl w:ilvl="1" w:tplc="08090003">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
    <w:nsid w:val="35CA48B3"/>
    <w:multiLevelType w:val="hybridMultilevel"/>
    <w:tmpl w:val="8A5457C0"/>
    <w:lvl w:ilvl="0" w:tplc="FFFFFFFF">
      <w:start w:val="1"/>
      <w:numFmt w:val="bullet"/>
      <w:pStyle w:val="Bulletskeyfindings"/>
      <w:lvlText w:val=""/>
      <w:lvlJc w:val="left"/>
      <w:pPr>
        <w:tabs>
          <w:tab w:val="num" w:pos="360"/>
        </w:tabs>
        <w:ind w:left="360" w:hanging="360"/>
      </w:pPr>
      <w:rPr>
        <w:rFonts w:ascii="Wingdings" w:hAnsi="Wingdings" w:hint="default"/>
      </w:rPr>
    </w:lvl>
    <w:lvl w:ilvl="1" w:tplc="12A8F624">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3C333709"/>
    <w:multiLevelType w:val="hybridMultilevel"/>
    <w:tmpl w:val="3118C6C8"/>
    <w:lvl w:ilvl="0" w:tplc="08090001">
      <w:start w:val="1"/>
      <w:numFmt w:val="bullet"/>
      <w:pStyle w:val="Bulletskeyfindings-lastbullet"/>
      <w:lvlText w:val=""/>
      <w:lvlJc w:val="left"/>
      <w:pPr>
        <w:ind w:left="855" w:hanging="360"/>
      </w:pPr>
      <w:rPr>
        <w:rFonts w:ascii="Symbol" w:hAnsi="Symbol"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5">
    <w:nsid w:val="49AC04FE"/>
    <w:multiLevelType w:val="hybridMultilevel"/>
    <w:tmpl w:val="123AAC0E"/>
    <w:lvl w:ilvl="0" w:tplc="3A9CC72E">
      <w:start w:val="1"/>
      <w:numFmt w:val="bullet"/>
      <w:pStyle w:val="Bulletscasestudy"/>
      <w:lvlText w:val=""/>
      <w:lvlJc w:val="left"/>
      <w:pPr>
        <w:tabs>
          <w:tab w:val="num" w:pos="1494"/>
        </w:tabs>
        <w:ind w:left="1494" w:hanging="360"/>
      </w:pPr>
      <w:rPr>
        <w:rFonts w:ascii="Wingdings" w:hAnsi="Wingdings" w:hint="default"/>
      </w:rPr>
    </w:lvl>
    <w:lvl w:ilvl="1" w:tplc="08090003" w:tentative="1">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
    <w:nsid w:val="5EA820D0"/>
    <w:multiLevelType w:val="hybridMultilevel"/>
    <w:tmpl w:val="173231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61D20D28"/>
    <w:multiLevelType w:val="hybridMultilevel"/>
    <w:tmpl w:val="D6C26E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71C27088"/>
    <w:multiLevelType w:val="hybridMultilevel"/>
    <w:tmpl w:val="AD74C3CA"/>
    <w:lvl w:ilvl="0" w:tplc="08090001">
      <w:start w:val="1"/>
      <w:numFmt w:val="bullet"/>
      <w:lvlText w:val=""/>
      <w:lvlJc w:val="left"/>
      <w:pPr>
        <w:tabs>
          <w:tab w:val="num" w:pos="927"/>
        </w:tabs>
        <w:ind w:left="927" w:hanging="360"/>
      </w:pPr>
      <w:rPr>
        <w:rFonts w:ascii="Symbol" w:hAnsi="Symbol" w:hint="default"/>
      </w:rPr>
    </w:lvl>
    <w:lvl w:ilvl="1" w:tplc="9648D2FC">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7F955784"/>
    <w:multiLevelType w:val="multilevel"/>
    <w:tmpl w:val="51602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7"/>
  </w:num>
  <w:num w:numId="3">
    <w:abstractNumId w:val="3"/>
  </w:num>
  <w:num w:numId="4">
    <w:abstractNumId w:val="5"/>
  </w:num>
  <w:num w:numId="5">
    <w:abstractNumId w:val="2"/>
  </w:num>
  <w:num w:numId="6">
    <w:abstractNumId w:val="0"/>
  </w:num>
  <w:num w:numId="7">
    <w:abstractNumId w:val="8"/>
  </w:num>
  <w:num w:numId="8">
    <w:abstractNumId w:val="1"/>
  </w:num>
  <w:num w:numId="9">
    <w:abstractNumId w:val="6"/>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AB38DC"/>
    <w:rsid w:val="00025F1D"/>
    <w:rsid w:val="00032400"/>
    <w:rsid w:val="0003749A"/>
    <w:rsid w:val="0006663A"/>
    <w:rsid w:val="00084A07"/>
    <w:rsid w:val="00091085"/>
    <w:rsid w:val="000B12CF"/>
    <w:rsid w:val="000C70B5"/>
    <w:rsid w:val="000D3C0B"/>
    <w:rsid w:val="000E53E5"/>
    <w:rsid w:val="000E7170"/>
    <w:rsid w:val="00110D63"/>
    <w:rsid w:val="00157DA5"/>
    <w:rsid w:val="0019125C"/>
    <w:rsid w:val="001C0259"/>
    <w:rsid w:val="00207592"/>
    <w:rsid w:val="00226CAB"/>
    <w:rsid w:val="002276C7"/>
    <w:rsid w:val="00227D9C"/>
    <w:rsid w:val="00254B9A"/>
    <w:rsid w:val="002615F2"/>
    <w:rsid w:val="002D3BAF"/>
    <w:rsid w:val="002F061A"/>
    <w:rsid w:val="0030764B"/>
    <w:rsid w:val="00327313"/>
    <w:rsid w:val="00360B33"/>
    <w:rsid w:val="0037612B"/>
    <w:rsid w:val="00377232"/>
    <w:rsid w:val="00396CE4"/>
    <w:rsid w:val="003C0948"/>
    <w:rsid w:val="003D3F65"/>
    <w:rsid w:val="003D42D8"/>
    <w:rsid w:val="003D6019"/>
    <w:rsid w:val="003F1D18"/>
    <w:rsid w:val="00417F80"/>
    <w:rsid w:val="00421AF2"/>
    <w:rsid w:val="0044578E"/>
    <w:rsid w:val="00477EF5"/>
    <w:rsid w:val="004A3A49"/>
    <w:rsid w:val="004C0569"/>
    <w:rsid w:val="004E4F9E"/>
    <w:rsid w:val="004F43DA"/>
    <w:rsid w:val="00512C40"/>
    <w:rsid w:val="00520721"/>
    <w:rsid w:val="0053054F"/>
    <w:rsid w:val="00561267"/>
    <w:rsid w:val="00564ACB"/>
    <w:rsid w:val="00566A86"/>
    <w:rsid w:val="00566AE8"/>
    <w:rsid w:val="005920F4"/>
    <w:rsid w:val="005A19AB"/>
    <w:rsid w:val="005A4E36"/>
    <w:rsid w:val="005C06A9"/>
    <w:rsid w:val="005C1140"/>
    <w:rsid w:val="005C7A7C"/>
    <w:rsid w:val="005D128E"/>
    <w:rsid w:val="005D1AEB"/>
    <w:rsid w:val="005D5B52"/>
    <w:rsid w:val="005F04E5"/>
    <w:rsid w:val="005F2247"/>
    <w:rsid w:val="00604B45"/>
    <w:rsid w:val="00621F83"/>
    <w:rsid w:val="006363AC"/>
    <w:rsid w:val="00643212"/>
    <w:rsid w:val="00691324"/>
    <w:rsid w:val="006E514D"/>
    <w:rsid w:val="006F4367"/>
    <w:rsid w:val="007014AE"/>
    <w:rsid w:val="00702EAA"/>
    <w:rsid w:val="007171FA"/>
    <w:rsid w:val="00717FA3"/>
    <w:rsid w:val="00722FD2"/>
    <w:rsid w:val="007304E3"/>
    <w:rsid w:val="0075371C"/>
    <w:rsid w:val="007577DD"/>
    <w:rsid w:val="00786D64"/>
    <w:rsid w:val="007D3D9E"/>
    <w:rsid w:val="007D5F00"/>
    <w:rsid w:val="007F3452"/>
    <w:rsid w:val="00813B39"/>
    <w:rsid w:val="00825210"/>
    <w:rsid w:val="008328FF"/>
    <w:rsid w:val="00846466"/>
    <w:rsid w:val="00847474"/>
    <w:rsid w:val="008741CC"/>
    <w:rsid w:val="008A521A"/>
    <w:rsid w:val="008A54EB"/>
    <w:rsid w:val="008B68FC"/>
    <w:rsid w:val="008C2AC7"/>
    <w:rsid w:val="008E1CB1"/>
    <w:rsid w:val="008E439B"/>
    <w:rsid w:val="00916FD6"/>
    <w:rsid w:val="00933C26"/>
    <w:rsid w:val="00972565"/>
    <w:rsid w:val="009806D9"/>
    <w:rsid w:val="009B5D4B"/>
    <w:rsid w:val="009D5F2F"/>
    <w:rsid w:val="009F727F"/>
    <w:rsid w:val="00A01B69"/>
    <w:rsid w:val="00A3520B"/>
    <w:rsid w:val="00A36684"/>
    <w:rsid w:val="00A9300D"/>
    <w:rsid w:val="00AB2B10"/>
    <w:rsid w:val="00AB314C"/>
    <w:rsid w:val="00AB38DC"/>
    <w:rsid w:val="00AD34C8"/>
    <w:rsid w:val="00AD74C7"/>
    <w:rsid w:val="00AE533F"/>
    <w:rsid w:val="00B02E74"/>
    <w:rsid w:val="00B07389"/>
    <w:rsid w:val="00B17F20"/>
    <w:rsid w:val="00B337B7"/>
    <w:rsid w:val="00B35A4B"/>
    <w:rsid w:val="00B5314F"/>
    <w:rsid w:val="00B65E18"/>
    <w:rsid w:val="00B92BBA"/>
    <w:rsid w:val="00BB3449"/>
    <w:rsid w:val="00BD6003"/>
    <w:rsid w:val="00BE0871"/>
    <w:rsid w:val="00BF5566"/>
    <w:rsid w:val="00C24C30"/>
    <w:rsid w:val="00C30980"/>
    <w:rsid w:val="00C53C20"/>
    <w:rsid w:val="00C84A35"/>
    <w:rsid w:val="00CA67DD"/>
    <w:rsid w:val="00CD2418"/>
    <w:rsid w:val="00CE317F"/>
    <w:rsid w:val="00CE365C"/>
    <w:rsid w:val="00D07C2E"/>
    <w:rsid w:val="00D12038"/>
    <w:rsid w:val="00D32D1D"/>
    <w:rsid w:val="00D3654E"/>
    <w:rsid w:val="00D377AD"/>
    <w:rsid w:val="00D37DB6"/>
    <w:rsid w:val="00D53715"/>
    <w:rsid w:val="00D71D70"/>
    <w:rsid w:val="00D72FA5"/>
    <w:rsid w:val="00D76B75"/>
    <w:rsid w:val="00D805FD"/>
    <w:rsid w:val="00D91A76"/>
    <w:rsid w:val="00D9211C"/>
    <w:rsid w:val="00DB6BC7"/>
    <w:rsid w:val="00DC360C"/>
    <w:rsid w:val="00DF0B60"/>
    <w:rsid w:val="00E037C5"/>
    <w:rsid w:val="00E15FC0"/>
    <w:rsid w:val="00E230A9"/>
    <w:rsid w:val="00E278ED"/>
    <w:rsid w:val="00E37F3F"/>
    <w:rsid w:val="00E448E5"/>
    <w:rsid w:val="00E51989"/>
    <w:rsid w:val="00EA0946"/>
    <w:rsid w:val="00EA74C9"/>
    <w:rsid w:val="00EA76CA"/>
    <w:rsid w:val="00EA774D"/>
    <w:rsid w:val="00EB6452"/>
    <w:rsid w:val="00EC2692"/>
    <w:rsid w:val="00EC2D40"/>
    <w:rsid w:val="00EC6BA2"/>
    <w:rsid w:val="00ED643D"/>
    <w:rsid w:val="00EE1EC2"/>
    <w:rsid w:val="00F704E4"/>
    <w:rsid w:val="00F75B0B"/>
    <w:rsid w:val="00FB77AB"/>
    <w:rsid w:val="00FD3756"/>
    <w:rsid w:val="00FE5B6E"/>
    <w:rsid w:val="00FF3A7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53E5"/>
    <w:rPr>
      <w:rFonts w:ascii="Trebuchet MS" w:hAnsi="Trebuchet MS"/>
      <w:sz w:val="24"/>
    </w:rPr>
  </w:style>
  <w:style w:type="paragraph" w:styleId="Heading1">
    <w:name w:val="heading 1"/>
    <w:basedOn w:val="Normal"/>
    <w:next w:val="Normal"/>
    <w:link w:val="Heading1Char"/>
    <w:uiPriority w:val="9"/>
    <w:qFormat/>
    <w:rsid w:val="000E53E5"/>
    <w:pPr>
      <w:keepNext/>
      <w:keepLines/>
      <w:spacing w:before="480" w:after="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E53E5"/>
    <w:pPr>
      <w:keepNext/>
      <w:keepLines/>
      <w:spacing w:before="200" w:after="0"/>
      <w:outlineLvl w:val="1"/>
    </w:pPr>
    <w:rPr>
      <w:rFonts w:eastAsiaTheme="majorEastAsia"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autoRedefine/>
    <w:qFormat/>
    <w:rsid w:val="000E53E5"/>
  </w:style>
  <w:style w:type="character" w:customStyle="1" w:styleId="Heading1Char">
    <w:name w:val="Heading 1 Char"/>
    <w:basedOn w:val="DefaultParagraphFont"/>
    <w:link w:val="Heading1"/>
    <w:uiPriority w:val="9"/>
    <w:rsid w:val="000E53E5"/>
    <w:rPr>
      <w:rFonts w:ascii="Trebuchet MS" w:eastAsiaTheme="majorEastAsia" w:hAnsi="Trebuchet MS"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0E53E5"/>
    <w:rPr>
      <w:rFonts w:ascii="Trebuchet MS" w:eastAsiaTheme="majorEastAsia" w:hAnsi="Trebuchet MS" w:cstheme="majorBidi"/>
      <w:b/>
      <w:bCs/>
      <w:color w:val="4F81BD" w:themeColor="accent1"/>
      <w:sz w:val="26"/>
      <w:szCs w:val="26"/>
    </w:rPr>
  </w:style>
  <w:style w:type="paragraph" w:styleId="Title">
    <w:name w:val="Title"/>
    <w:basedOn w:val="Normal"/>
    <w:next w:val="Normal"/>
    <w:link w:val="TitleChar"/>
    <w:qFormat/>
    <w:rsid w:val="000E53E5"/>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E53E5"/>
    <w:rPr>
      <w:rFonts w:ascii="Trebuchet MS" w:eastAsiaTheme="majorEastAsia" w:hAnsi="Trebuchet MS" w:cstheme="majorBidi"/>
      <w:color w:val="17365D" w:themeColor="text2" w:themeShade="BF"/>
      <w:spacing w:val="5"/>
      <w:kern w:val="28"/>
      <w:sz w:val="52"/>
      <w:szCs w:val="52"/>
    </w:rPr>
  </w:style>
  <w:style w:type="paragraph" w:styleId="FootnoteText">
    <w:name w:val="footnote text"/>
    <w:basedOn w:val="Normal"/>
    <w:link w:val="FootnoteTextChar"/>
    <w:semiHidden/>
    <w:unhideWhenUsed/>
    <w:rsid w:val="00B92BB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92BBA"/>
    <w:rPr>
      <w:rFonts w:ascii="Trebuchet MS" w:hAnsi="Trebuchet MS"/>
      <w:sz w:val="20"/>
      <w:szCs w:val="20"/>
    </w:rPr>
  </w:style>
  <w:style w:type="character" w:styleId="FootnoteReference">
    <w:name w:val="footnote reference"/>
    <w:basedOn w:val="DefaultParagraphFont"/>
    <w:semiHidden/>
    <w:unhideWhenUsed/>
    <w:rsid w:val="00B92BBA"/>
    <w:rPr>
      <w:vertAlign w:val="superscript"/>
    </w:rPr>
  </w:style>
  <w:style w:type="paragraph" w:styleId="ListParagraph">
    <w:name w:val="List Paragraph"/>
    <w:basedOn w:val="Normal"/>
    <w:uiPriority w:val="34"/>
    <w:qFormat/>
    <w:rsid w:val="005C06A9"/>
    <w:pPr>
      <w:ind w:left="720"/>
      <w:contextualSpacing/>
    </w:pPr>
  </w:style>
  <w:style w:type="paragraph" w:styleId="Header">
    <w:name w:val="header"/>
    <w:basedOn w:val="Normal"/>
    <w:link w:val="HeaderChar"/>
    <w:uiPriority w:val="99"/>
    <w:semiHidden/>
    <w:unhideWhenUsed/>
    <w:rsid w:val="007304E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7304E3"/>
    <w:rPr>
      <w:rFonts w:ascii="Trebuchet MS" w:hAnsi="Trebuchet MS"/>
      <w:sz w:val="24"/>
    </w:rPr>
  </w:style>
  <w:style w:type="paragraph" w:styleId="Footer">
    <w:name w:val="footer"/>
    <w:basedOn w:val="Normal"/>
    <w:link w:val="FooterChar"/>
    <w:uiPriority w:val="99"/>
    <w:unhideWhenUsed/>
    <w:rsid w:val="007304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7304E3"/>
    <w:rPr>
      <w:rFonts w:ascii="Trebuchet MS" w:hAnsi="Trebuchet MS"/>
      <w:sz w:val="24"/>
    </w:rPr>
  </w:style>
  <w:style w:type="paragraph" w:customStyle="1" w:styleId="Bulletskeyfindings">
    <w:name w:val="Bullets (key findings)"/>
    <w:basedOn w:val="Normal"/>
    <w:link w:val="BulletskeyfindingsChar"/>
    <w:rsid w:val="002F061A"/>
    <w:pPr>
      <w:numPr>
        <w:numId w:val="3"/>
      </w:numPr>
      <w:spacing w:after="120" w:line="240" w:lineRule="auto"/>
    </w:pPr>
    <w:rPr>
      <w:rFonts w:ascii="Tahoma" w:eastAsia="Times New Roman" w:hAnsi="Tahoma" w:cs="Times New Roman"/>
      <w:color w:val="000000"/>
      <w:szCs w:val="24"/>
    </w:rPr>
  </w:style>
  <w:style w:type="character" w:customStyle="1" w:styleId="BulletskeyfindingsChar">
    <w:name w:val="Bullets (key findings) Char"/>
    <w:basedOn w:val="DefaultParagraphFont"/>
    <w:link w:val="Bulletskeyfindings"/>
    <w:rsid w:val="002F061A"/>
    <w:rPr>
      <w:rFonts w:ascii="Tahoma" w:eastAsia="Times New Roman" w:hAnsi="Tahoma" w:cs="Times New Roman"/>
      <w:color w:val="000000"/>
      <w:sz w:val="24"/>
      <w:szCs w:val="24"/>
    </w:rPr>
  </w:style>
  <w:style w:type="paragraph" w:customStyle="1" w:styleId="Bulletsspaced">
    <w:name w:val="Bullets (spaced)"/>
    <w:basedOn w:val="Normal"/>
    <w:link w:val="BulletsspacedChar"/>
    <w:rsid w:val="002F061A"/>
    <w:pPr>
      <w:numPr>
        <w:numId w:val="6"/>
      </w:numPr>
      <w:spacing w:before="120" w:after="0" w:line="240" w:lineRule="auto"/>
    </w:pPr>
    <w:rPr>
      <w:rFonts w:ascii="Tahoma" w:eastAsia="Times New Roman" w:hAnsi="Tahoma" w:cs="Times New Roman"/>
      <w:color w:val="000000"/>
      <w:szCs w:val="24"/>
    </w:rPr>
  </w:style>
  <w:style w:type="paragraph" w:customStyle="1" w:styleId="Bulletsspaced-lastbullet">
    <w:name w:val="Bullets (spaced) - last bullet"/>
    <w:basedOn w:val="Bulletsspaced"/>
    <w:next w:val="Numberedparagraph"/>
    <w:link w:val="Bulletsspaced-lastbulletChar"/>
    <w:rsid w:val="002F061A"/>
    <w:pPr>
      <w:spacing w:after="240"/>
    </w:pPr>
  </w:style>
  <w:style w:type="paragraph" w:customStyle="1" w:styleId="Numberedparagraph">
    <w:name w:val="Numbered paragraph"/>
    <w:basedOn w:val="Normal"/>
    <w:link w:val="NumberedparagraphChar"/>
    <w:rsid w:val="002F061A"/>
    <w:pPr>
      <w:numPr>
        <w:numId w:val="5"/>
      </w:numPr>
      <w:spacing w:after="240" w:line="240" w:lineRule="auto"/>
    </w:pPr>
    <w:rPr>
      <w:rFonts w:ascii="Tahoma" w:eastAsia="Times New Roman" w:hAnsi="Tahoma" w:cs="Tahoma"/>
      <w:color w:val="000000"/>
      <w:szCs w:val="24"/>
    </w:rPr>
  </w:style>
  <w:style w:type="paragraph" w:customStyle="1" w:styleId="Bulletscasestudy">
    <w:name w:val="Bullets (case study)"/>
    <w:basedOn w:val="Normal"/>
    <w:rsid w:val="002F061A"/>
    <w:pPr>
      <w:numPr>
        <w:numId w:val="4"/>
      </w:numPr>
      <w:shd w:val="clear" w:color="auto" w:fill="CCCCCC"/>
      <w:tabs>
        <w:tab w:val="left" w:pos="340"/>
      </w:tabs>
      <w:spacing w:after="240" w:line="240" w:lineRule="auto"/>
      <w:contextualSpacing/>
    </w:pPr>
    <w:rPr>
      <w:rFonts w:ascii="Tahoma" w:eastAsia="Times New Roman" w:hAnsi="Tahoma" w:cs="Times New Roman"/>
      <w:color w:val="000000"/>
      <w:szCs w:val="24"/>
    </w:rPr>
  </w:style>
  <w:style w:type="character" w:customStyle="1" w:styleId="NumberedparagraphChar">
    <w:name w:val="Numbered paragraph Char"/>
    <w:basedOn w:val="DefaultParagraphFont"/>
    <w:link w:val="Numberedparagraph"/>
    <w:rsid w:val="002F061A"/>
    <w:rPr>
      <w:rFonts w:ascii="Tahoma" w:eastAsia="Times New Roman" w:hAnsi="Tahoma" w:cs="Tahoma"/>
      <w:color w:val="000000"/>
      <w:sz w:val="24"/>
      <w:szCs w:val="24"/>
    </w:rPr>
  </w:style>
  <w:style w:type="character" w:customStyle="1" w:styleId="BulletsspacedChar">
    <w:name w:val="Bullets (spaced) Char"/>
    <w:basedOn w:val="DefaultParagraphFont"/>
    <w:link w:val="Bulletsspaced"/>
    <w:rsid w:val="002F061A"/>
    <w:rPr>
      <w:rFonts w:ascii="Tahoma" w:eastAsia="Times New Roman" w:hAnsi="Tahoma" w:cs="Times New Roman"/>
      <w:color w:val="000000"/>
      <w:sz w:val="24"/>
      <w:szCs w:val="24"/>
    </w:rPr>
  </w:style>
  <w:style w:type="character" w:customStyle="1" w:styleId="Bulletsspaced-lastbulletChar">
    <w:name w:val="Bullets (spaced) - last bullet Char"/>
    <w:basedOn w:val="BulletsspacedChar"/>
    <w:link w:val="Bulletsspaced-lastbullet"/>
    <w:rsid w:val="002F061A"/>
  </w:style>
  <w:style w:type="character" w:customStyle="1" w:styleId="UnnumberedparagraphChar">
    <w:name w:val="Unnumbered paragraph Char"/>
    <w:basedOn w:val="DefaultParagraphFont"/>
    <w:link w:val="Unnumberedparagraph"/>
    <w:rsid w:val="00FB77AB"/>
    <w:rPr>
      <w:rFonts w:ascii="Tahoma" w:hAnsi="Tahoma"/>
      <w:color w:val="000000"/>
      <w:sz w:val="24"/>
      <w:szCs w:val="24"/>
    </w:rPr>
  </w:style>
  <w:style w:type="paragraph" w:customStyle="1" w:styleId="Unnumberedparagraph">
    <w:name w:val="Unnumbered paragraph"/>
    <w:basedOn w:val="Normal"/>
    <w:link w:val="UnnumberedparagraphChar"/>
    <w:rsid w:val="00FB77AB"/>
    <w:pPr>
      <w:spacing w:after="240" w:line="240" w:lineRule="auto"/>
    </w:pPr>
    <w:rPr>
      <w:rFonts w:ascii="Tahoma" w:hAnsi="Tahoma"/>
      <w:color w:val="000000"/>
      <w:szCs w:val="24"/>
    </w:rPr>
  </w:style>
  <w:style w:type="paragraph" w:customStyle="1" w:styleId="Bulletskeyfindings-lastbullet">
    <w:name w:val="Bullets (key findings) - last bullet"/>
    <w:basedOn w:val="Bulletskeyfindings"/>
    <w:next w:val="Heading1"/>
    <w:link w:val="Bulletskeyfindings-lastbulletChar"/>
    <w:rsid w:val="00972565"/>
    <w:pPr>
      <w:numPr>
        <w:numId w:val="1"/>
      </w:numPr>
      <w:spacing w:after="240"/>
    </w:pPr>
  </w:style>
  <w:style w:type="character" w:styleId="Hyperlink">
    <w:name w:val="Hyperlink"/>
    <w:basedOn w:val="DefaultParagraphFont"/>
    <w:rsid w:val="00972565"/>
    <w:rPr>
      <w:color w:val="0000FF"/>
      <w:u w:val="none"/>
    </w:rPr>
  </w:style>
  <w:style w:type="character" w:customStyle="1" w:styleId="Bulletskeyfindings-lastbulletChar">
    <w:name w:val="Bullets (key findings) - last bullet Char"/>
    <w:basedOn w:val="BulletskeyfindingsChar"/>
    <w:link w:val="Bulletskeyfindings-lastbullet"/>
    <w:rsid w:val="00972565"/>
  </w:style>
  <w:style w:type="character" w:customStyle="1" w:styleId="legamendingtext">
    <w:name w:val="legamendingtext"/>
    <w:basedOn w:val="DefaultParagraphFont"/>
    <w:rsid w:val="005D5B52"/>
  </w:style>
  <w:style w:type="character" w:styleId="HTMLCite">
    <w:name w:val="HTML Cite"/>
    <w:basedOn w:val="DefaultParagraphFont"/>
    <w:uiPriority w:val="99"/>
    <w:semiHidden/>
    <w:unhideWhenUsed/>
    <w:rsid w:val="00CA67DD"/>
    <w:rPr>
      <w:i/>
      <w:iCs/>
    </w:rPr>
  </w:style>
</w:styles>
</file>

<file path=word/webSettings.xml><?xml version="1.0" encoding="utf-8"?>
<w:webSettings xmlns:r="http://schemas.openxmlformats.org/officeDocument/2006/relationships" xmlns:w="http://schemas.openxmlformats.org/wordprocessingml/2006/main">
  <w:divs>
    <w:div w:id="1512909051">
      <w:bodyDiv w:val="1"/>
      <w:marLeft w:val="0"/>
      <w:marRight w:val="0"/>
      <w:marTop w:val="0"/>
      <w:marBottom w:val="0"/>
      <w:divBdr>
        <w:top w:val="none" w:sz="0" w:space="0" w:color="auto"/>
        <w:left w:val="none" w:sz="0" w:space="0" w:color="auto"/>
        <w:bottom w:val="none" w:sz="0" w:space="0" w:color="auto"/>
        <w:right w:val="none" w:sz="0" w:space="0" w:color="auto"/>
      </w:divBdr>
      <w:divsChild>
        <w:div w:id="871646475">
          <w:marLeft w:val="0"/>
          <w:marRight w:val="0"/>
          <w:marTop w:val="0"/>
          <w:marBottom w:val="0"/>
          <w:divBdr>
            <w:top w:val="none" w:sz="0" w:space="0" w:color="auto"/>
            <w:left w:val="none" w:sz="0" w:space="0" w:color="auto"/>
            <w:bottom w:val="none" w:sz="0" w:space="0" w:color="auto"/>
            <w:right w:val="none" w:sz="0" w:space="0" w:color="auto"/>
          </w:divBdr>
          <w:divsChild>
            <w:div w:id="1456756516">
              <w:marLeft w:val="0"/>
              <w:marRight w:val="0"/>
              <w:marTop w:val="0"/>
              <w:marBottom w:val="0"/>
              <w:divBdr>
                <w:top w:val="none" w:sz="0" w:space="0" w:color="auto"/>
                <w:left w:val="none" w:sz="0" w:space="0" w:color="auto"/>
                <w:bottom w:val="none" w:sz="0" w:space="0" w:color="auto"/>
                <w:right w:val="none" w:sz="0" w:space="0" w:color="auto"/>
              </w:divBdr>
              <w:divsChild>
                <w:div w:id="1531608519">
                  <w:marLeft w:val="0"/>
                  <w:marRight w:val="0"/>
                  <w:marTop w:val="0"/>
                  <w:marBottom w:val="0"/>
                  <w:divBdr>
                    <w:top w:val="none" w:sz="0" w:space="0" w:color="auto"/>
                    <w:left w:val="none" w:sz="0" w:space="0" w:color="auto"/>
                    <w:bottom w:val="none" w:sz="0" w:space="0" w:color="auto"/>
                    <w:right w:val="none" w:sz="0" w:space="0" w:color="auto"/>
                  </w:divBdr>
                  <w:divsChild>
                    <w:div w:id="2117823501">
                      <w:marLeft w:val="0"/>
                      <w:marRight w:val="0"/>
                      <w:marTop w:val="0"/>
                      <w:marBottom w:val="0"/>
                      <w:divBdr>
                        <w:top w:val="none" w:sz="0" w:space="0" w:color="auto"/>
                        <w:left w:val="none" w:sz="0" w:space="0" w:color="auto"/>
                        <w:bottom w:val="none" w:sz="0" w:space="0" w:color="auto"/>
                        <w:right w:val="none" w:sz="0" w:space="0" w:color="auto"/>
                      </w:divBdr>
                      <w:divsChild>
                        <w:div w:id="1724989147">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83985819">
                              <w:marLeft w:val="0"/>
                              <w:marRight w:val="0"/>
                              <w:marTop w:val="0"/>
                              <w:marBottom w:val="0"/>
                              <w:divBdr>
                                <w:top w:val="none" w:sz="0" w:space="0" w:color="auto"/>
                                <w:left w:val="none" w:sz="0" w:space="0" w:color="auto"/>
                                <w:bottom w:val="none" w:sz="0" w:space="0" w:color="auto"/>
                                <w:right w:val="none" w:sz="0" w:space="0" w:color="auto"/>
                              </w:divBdr>
                              <w:divsChild>
                                <w:div w:id="1815371596">
                                  <w:marLeft w:val="0"/>
                                  <w:marRight w:val="0"/>
                                  <w:marTop w:val="0"/>
                                  <w:marBottom w:val="0"/>
                                  <w:divBdr>
                                    <w:top w:val="none" w:sz="0" w:space="0" w:color="auto"/>
                                    <w:left w:val="none" w:sz="0" w:space="0" w:color="auto"/>
                                    <w:bottom w:val="none" w:sz="0" w:space="0" w:color="auto"/>
                                    <w:right w:val="none" w:sz="0" w:space="0" w:color="auto"/>
                                  </w:divBdr>
                                  <w:divsChild>
                                    <w:div w:id="1754425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7417136">
      <w:bodyDiv w:val="1"/>
      <w:marLeft w:val="0"/>
      <w:marRight w:val="0"/>
      <w:marTop w:val="0"/>
      <w:marBottom w:val="0"/>
      <w:divBdr>
        <w:top w:val="none" w:sz="0" w:space="0" w:color="auto"/>
        <w:left w:val="none" w:sz="0" w:space="0" w:color="auto"/>
        <w:bottom w:val="none" w:sz="0" w:space="0" w:color="auto"/>
        <w:right w:val="none" w:sz="0" w:space="0" w:color="auto"/>
      </w:divBdr>
      <w:divsChild>
        <w:div w:id="827096742">
          <w:marLeft w:val="0"/>
          <w:marRight w:val="0"/>
          <w:marTop w:val="0"/>
          <w:marBottom w:val="0"/>
          <w:divBdr>
            <w:top w:val="none" w:sz="0" w:space="0" w:color="auto"/>
            <w:left w:val="none" w:sz="0" w:space="0" w:color="auto"/>
            <w:bottom w:val="none" w:sz="0" w:space="0" w:color="auto"/>
            <w:right w:val="none" w:sz="0" w:space="0" w:color="auto"/>
          </w:divBdr>
          <w:divsChild>
            <w:div w:id="1303736122">
              <w:marLeft w:val="0"/>
              <w:marRight w:val="0"/>
              <w:marTop w:val="0"/>
              <w:marBottom w:val="0"/>
              <w:divBdr>
                <w:top w:val="single" w:sz="2" w:space="0" w:color="FFFFFF"/>
                <w:left w:val="single" w:sz="6" w:space="0" w:color="FFFFFF"/>
                <w:bottom w:val="single" w:sz="6" w:space="0" w:color="FFFFFF"/>
                <w:right w:val="single" w:sz="6" w:space="0" w:color="FFFFFF"/>
              </w:divBdr>
              <w:divsChild>
                <w:div w:id="165753484">
                  <w:marLeft w:val="0"/>
                  <w:marRight w:val="0"/>
                  <w:marTop w:val="0"/>
                  <w:marBottom w:val="0"/>
                  <w:divBdr>
                    <w:top w:val="single" w:sz="6" w:space="1" w:color="D3D3D3"/>
                    <w:left w:val="none" w:sz="0" w:space="0" w:color="auto"/>
                    <w:bottom w:val="none" w:sz="0" w:space="0" w:color="auto"/>
                    <w:right w:val="none" w:sz="0" w:space="0" w:color="auto"/>
                  </w:divBdr>
                  <w:divsChild>
                    <w:div w:id="164713688">
                      <w:marLeft w:val="0"/>
                      <w:marRight w:val="0"/>
                      <w:marTop w:val="0"/>
                      <w:marBottom w:val="0"/>
                      <w:divBdr>
                        <w:top w:val="none" w:sz="0" w:space="0" w:color="auto"/>
                        <w:left w:val="none" w:sz="0" w:space="0" w:color="auto"/>
                        <w:bottom w:val="none" w:sz="0" w:space="0" w:color="auto"/>
                        <w:right w:val="none" w:sz="0" w:space="0" w:color="auto"/>
                      </w:divBdr>
                      <w:divsChild>
                        <w:div w:id="1298683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9114014">
      <w:bodyDiv w:val="1"/>
      <w:marLeft w:val="0"/>
      <w:marRight w:val="0"/>
      <w:marTop w:val="0"/>
      <w:marBottom w:val="0"/>
      <w:divBdr>
        <w:top w:val="none" w:sz="0" w:space="0" w:color="auto"/>
        <w:left w:val="none" w:sz="0" w:space="0" w:color="auto"/>
        <w:bottom w:val="none" w:sz="0" w:space="0" w:color="auto"/>
        <w:right w:val="none" w:sz="0" w:space="0" w:color="auto"/>
      </w:divBdr>
      <w:divsChild>
        <w:div w:id="1675257779">
          <w:marLeft w:val="0"/>
          <w:marRight w:val="0"/>
          <w:marTop w:val="0"/>
          <w:marBottom w:val="0"/>
          <w:divBdr>
            <w:top w:val="none" w:sz="0" w:space="0" w:color="auto"/>
            <w:left w:val="none" w:sz="0" w:space="0" w:color="auto"/>
            <w:bottom w:val="none" w:sz="0" w:space="0" w:color="auto"/>
            <w:right w:val="none" w:sz="0" w:space="0" w:color="auto"/>
          </w:divBdr>
          <w:divsChild>
            <w:div w:id="1490555878">
              <w:marLeft w:val="0"/>
              <w:marRight w:val="0"/>
              <w:marTop w:val="0"/>
              <w:marBottom w:val="0"/>
              <w:divBdr>
                <w:top w:val="none" w:sz="0" w:space="0" w:color="auto"/>
                <w:left w:val="none" w:sz="0" w:space="0" w:color="auto"/>
                <w:bottom w:val="none" w:sz="0" w:space="0" w:color="auto"/>
                <w:right w:val="none" w:sz="0" w:space="0" w:color="auto"/>
              </w:divBdr>
              <w:divsChild>
                <w:div w:id="646593479">
                  <w:marLeft w:val="0"/>
                  <w:marRight w:val="0"/>
                  <w:marTop w:val="0"/>
                  <w:marBottom w:val="0"/>
                  <w:divBdr>
                    <w:top w:val="none" w:sz="0" w:space="0" w:color="auto"/>
                    <w:left w:val="none" w:sz="0" w:space="0" w:color="auto"/>
                    <w:bottom w:val="none" w:sz="0" w:space="0" w:color="auto"/>
                    <w:right w:val="none" w:sz="0" w:space="0" w:color="auto"/>
                  </w:divBdr>
                  <w:divsChild>
                    <w:div w:id="2116971735">
                      <w:marLeft w:val="0"/>
                      <w:marRight w:val="0"/>
                      <w:marTop w:val="0"/>
                      <w:marBottom w:val="0"/>
                      <w:divBdr>
                        <w:top w:val="none" w:sz="0" w:space="0" w:color="auto"/>
                        <w:left w:val="none" w:sz="0" w:space="0" w:color="auto"/>
                        <w:bottom w:val="none" w:sz="0" w:space="0" w:color="auto"/>
                        <w:right w:val="none" w:sz="0" w:space="0" w:color="auto"/>
                      </w:divBdr>
                      <w:divsChild>
                        <w:div w:id="255595915">
                          <w:marLeft w:val="0"/>
                          <w:marRight w:val="0"/>
                          <w:marTop w:val="0"/>
                          <w:marBottom w:val="0"/>
                          <w:divBdr>
                            <w:top w:val="none" w:sz="0" w:space="0" w:color="auto"/>
                            <w:left w:val="none" w:sz="0" w:space="0" w:color="auto"/>
                            <w:bottom w:val="none" w:sz="0" w:space="0" w:color="auto"/>
                            <w:right w:val="none" w:sz="0" w:space="0" w:color="auto"/>
                          </w:divBdr>
                          <w:divsChild>
                            <w:div w:id="1339507530">
                              <w:marLeft w:val="0"/>
                              <w:marRight w:val="0"/>
                              <w:marTop w:val="0"/>
                              <w:marBottom w:val="0"/>
                              <w:divBdr>
                                <w:top w:val="none" w:sz="0" w:space="0" w:color="auto"/>
                                <w:left w:val="none" w:sz="0" w:space="0" w:color="auto"/>
                                <w:bottom w:val="none" w:sz="0" w:space="0" w:color="auto"/>
                                <w:right w:val="none" w:sz="0" w:space="0" w:color="auto"/>
                              </w:divBdr>
                              <w:divsChild>
                                <w:div w:id="1605728340">
                                  <w:marLeft w:val="0"/>
                                  <w:marRight w:val="0"/>
                                  <w:marTop w:val="0"/>
                                  <w:marBottom w:val="0"/>
                                  <w:divBdr>
                                    <w:top w:val="none" w:sz="0" w:space="0" w:color="auto"/>
                                    <w:left w:val="none" w:sz="0" w:space="0" w:color="auto"/>
                                    <w:bottom w:val="none" w:sz="0" w:space="0" w:color="auto"/>
                                    <w:right w:val="none" w:sz="0" w:space="0" w:color="auto"/>
                                  </w:divBdr>
                                  <w:divsChild>
                                    <w:div w:id="1826971207">
                                      <w:marLeft w:val="0"/>
                                      <w:marRight w:val="0"/>
                                      <w:marTop w:val="0"/>
                                      <w:marBottom w:val="0"/>
                                      <w:divBdr>
                                        <w:top w:val="none" w:sz="0" w:space="0" w:color="auto"/>
                                        <w:left w:val="none" w:sz="0" w:space="0" w:color="auto"/>
                                        <w:bottom w:val="none" w:sz="0" w:space="0" w:color="auto"/>
                                        <w:right w:val="none" w:sz="0" w:space="0" w:color="auto"/>
                                      </w:divBdr>
                                      <w:divsChild>
                                        <w:div w:id="1611157342">
                                          <w:marLeft w:val="0"/>
                                          <w:marRight w:val="0"/>
                                          <w:marTop w:val="0"/>
                                          <w:marBottom w:val="0"/>
                                          <w:divBdr>
                                            <w:top w:val="none" w:sz="0" w:space="0" w:color="auto"/>
                                            <w:left w:val="none" w:sz="0" w:space="0" w:color="auto"/>
                                            <w:bottom w:val="none" w:sz="0" w:space="0" w:color="auto"/>
                                            <w:right w:val="none" w:sz="0" w:space="0" w:color="auto"/>
                                          </w:divBdr>
                                          <w:divsChild>
                                            <w:div w:id="344403937">
                                              <w:marLeft w:val="0"/>
                                              <w:marRight w:val="0"/>
                                              <w:marTop w:val="0"/>
                                              <w:marBottom w:val="0"/>
                                              <w:divBdr>
                                                <w:top w:val="none" w:sz="0" w:space="0" w:color="auto"/>
                                                <w:left w:val="none" w:sz="0" w:space="0" w:color="auto"/>
                                                <w:bottom w:val="none" w:sz="0" w:space="0" w:color="auto"/>
                                                <w:right w:val="none" w:sz="0" w:space="0" w:color="auto"/>
                                              </w:divBdr>
                                              <w:divsChild>
                                                <w:div w:id="1751997934">
                                                  <w:marLeft w:val="0"/>
                                                  <w:marRight w:val="0"/>
                                                  <w:marTop w:val="0"/>
                                                  <w:marBottom w:val="0"/>
                                                  <w:divBdr>
                                                    <w:top w:val="none" w:sz="0" w:space="0" w:color="auto"/>
                                                    <w:left w:val="none" w:sz="0" w:space="0" w:color="auto"/>
                                                    <w:bottom w:val="none" w:sz="0" w:space="0" w:color="auto"/>
                                                    <w:right w:val="none" w:sz="0" w:space="0" w:color="auto"/>
                                                  </w:divBdr>
                                                  <w:divsChild>
                                                    <w:div w:id="677538008">
                                                      <w:marLeft w:val="0"/>
                                                      <w:marRight w:val="0"/>
                                                      <w:marTop w:val="0"/>
                                                      <w:marBottom w:val="0"/>
                                                      <w:divBdr>
                                                        <w:top w:val="none" w:sz="0" w:space="0" w:color="auto"/>
                                                        <w:left w:val="none" w:sz="0" w:space="0" w:color="auto"/>
                                                        <w:bottom w:val="none" w:sz="0" w:space="0" w:color="auto"/>
                                                        <w:right w:val="none" w:sz="0" w:space="0" w:color="auto"/>
                                                      </w:divBdr>
                                                    </w:div>
                                                    <w:div w:id="1441873317">
                                                      <w:marLeft w:val="0"/>
                                                      <w:marRight w:val="0"/>
                                                      <w:marTop w:val="0"/>
                                                      <w:marBottom w:val="0"/>
                                                      <w:divBdr>
                                                        <w:top w:val="none" w:sz="0" w:space="0" w:color="auto"/>
                                                        <w:left w:val="none" w:sz="0" w:space="0" w:color="auto"/>
                                                        <w:bottom w:val="none" w:sz="0" w:space="0" w:color="auto"/>
                                                        <w:right w:val="none" w:sz="0" w:space="0" w:color="auto"/>
                                                      </w:divBdr>
                                                    </w:div>
                                                    <w:div w:id="119306146">
                                                      <w:marLeft w:val="0"/>
                                                      <w:marRight w:val="0"/>
                                                      <w:marTop w:val="0"/>
                                                      <w:marBottom w:val="0"/>
                                                      <w:divBdr>
                                                        <w:top w:val="none" w:sz="0" w:space="0" w:color="auto"/>
                                                        <w:left w:val="none" w:sz="0" w:space="0" w:color="auto"/>
                                                        <w:bottom w:val="none" w:sz="0" w:space="0" w:color="auto"/>
                                                        <w:right w:val="none" w:sz="0" w:space="0" w:color="auto"/>
                                                      </w:divBdr>
                                                    </w:div>
                                                    <w:div w:id="630745854">
                                                      <w:marLeft w:val="0"/>
                                                      <w:marRight w:val="0"/>
                                                      <w:marTop w:val="0"/>
                                                      <w:marBottom w:val="0"/>
                                                      <w:divBdr>
                                                        <w:top w:val="none" w:sz="0" w:space="0" w:color="auto"/>
                                                        <w:left w:val="none" w:sz="0" w:space="0" w:color="auto"/>
                                                        <w:bottom w:val="none" w:sz="0" w:space="0" w:color="auto"/>
                                                        <w:right w:val="none" w:sz="0" w:space="0" w:color="auto"/>
                                                      </w:divBdr>
                                                    </w:div>
                                                    <w:div w:id="1054037746">
                                                      <w:marLeft w:val="0"/>
                                                      <w:marRight w:val="0"/>
                                                      <w:marTop w:val="0"/>
                                                      <w:marBottom w:val="0"/>
                                                      <w:divBdr>
                                                        <w:top w:val="none" w:sz="0" w:space="0" w:color="auto"/>
                                                        <w:left w:val="none" w:sz="0" w:space="0" w:color="auto"/>
                                                        <w:bottom w:val="none" w:sz="0" w:space="0" w:color="auto"/>
                                                        <w:right w:val="none" w:sz="0" w:space="0" w:color="auto"/>
                                                      </w:divBdr>
                                                    </w:div>
                                                    <w:div w:id="796872056">
                                                      <w:marLeft w:val="0"/>
                                                      <w:marRight w:val="0"/>
                                                      <w:marTop w:val="0"/>
                                                      <w:marBottom w:val="0"/>
                                                      <w:divBdr>
                                                        <w:top w:val="none" w:sz="0" w:space="0" w:color="auto"/>
                                                        <w:left w:val="none" w:sz="0" w:space="0" w:color="auto"/>
                                                        <w:bottom w:val="none" w:sz="0" w:space="0" w:color="auto"/>
                                                        <w:right w:val="none" w:sz="0" w:space="0" w:color="auto"/>
                                                      </w:divBdr>
                                                    </w:div>
                                                    <w:div w:id="628363934">
                                                      <w:marLeft w:val="0"/>
                                                      <w:marRight w:val="0"/>
                                                      <w:marTop w:val="0"/>
                                                      <w:marBottom w:val="0"/>
                                                      <w:divBdr>
                                                        <w:top w:val="none" w:sz="0" w:space="0" w:color="auto"/>
                                                        <w:left w:val="none" w:sz="0" w:space="0" w:color="auto"/>
                                                        <w:bottom w:val="none" w:sz="0" w:space="0" w:color="auto"/>
                                                        <w:right w:val="none" w:sz="0" w:space="0" w:color="auto"/>
                                                      </w:divBdr>
                                                    </w:div>
                                                    <w:div w:id="1136877398">
                                                      <w:marLeft w:val="0"/>
                                                      <w:marRight w:val="0"/>
                                                      <w:marTop w:val="0"/>
                                                      <w:marBottom w:val="0"/>
                                                      <w:divBdr>
                                                        <w:top w:val="none" w:sz="0" w:space="0" w:color="auto"/>
                                                        <w:left w:val="none" w:sz="0" w:space="0" w:color="auto"/>
                                                        <w:bottom w:val="none" w:sz="0" w:space="0" w:color="auto"/>
                                                        <w:right w:val="none" w:sz="0" w:space="0" w:color="auto"/>
                                                      </w:divBdr>
                                                    </w:div>
                                                    <w:div w:id="421075075">
                                                      <w:marLeft w:val="0"/>
                                                      <w:marRight w:val="0"/>
                                                      <w:marTop w:val="0"/>
                                                      <w:marBottom w:val="0"/>
                                                      <w:divBdr>
                                                        <w:top w:val="none" w:sz="0" w:space="0" w:color="auto"/>
                                                        <w:left w:val="none" w:sz="0" w:space="0" w:color="auto"/>
                                                        <w:bottom w:val="none" w:sz="0" w:space="0" w:color="auto"/>
                                                        <w:right w:val="none" w:sz="0" w:space="0" w:color="auto"/>
                                                      </w:divBdr>
                                                    </w:div>
                                                    <w:div w:id="1899365547">
                                                      <w:marLeft w:val="0"/>
                                                      <w:marRight w:val="0"/>
                                                      <w:marTop w:val="0"/>
                                                      <w:marBottom w:val="0"/>
                                                      <w:divBdr>
                                                        <w:top w:val="none" w:sz="0" w:space="0" w:color="auto"/>
                                                        <w:left w:val="none" w:sz="0" w:space="0" w:color="auto"/>
                                                        <w:bottom w:val="none" w:sz="0" w:space="0" w:color="auto"/>
                                                        <w:right w:val="none" w:sz="0" w:space="0" w:color="auto"/>
                                                      </w:divBdr>
                                                    </w:div>
                                                    <w:div w:id="184829699">
                                                      <w:marLeft w:val="0"/>
                                                      <w:marRight w:val="0"/>
                                                      <w:marTop w:val="0"/>
                                                      <w:marBottom w:val="0"/>
                                                      <w:divBdr>
                                                        <w:top w:val="none" w:sz="0" w:space="0" w:color="auto"/>
                                                        <w:left w:val="none" w:sz="0" w:space="0" w:color="auto"/>
                                                        <w:bottom w:val="none" w:sz="0" w:space="0" w:color="auto"/>
                                                        <w:right w:val="none" w:sz="0" w:space="0" w:color="auto"/>
                                                      </w:divBdr>
                                                    </w:div>
                                                    <w:div w:id="1687168025">
                                                      <w:marLeft w:val="0"/>
                                                      <w:marRight w:val="0"/>
                                                      <w:marTop w:val="0"/>
                                                      <w:marBottom w:val="0"/>
                                                      <w:divBdr>
                                                        <w:top w:val="none" w:sz="0" w:space="0" w:color="auto"/>
                                                        <w:left w:val="none" w:sz="0" w:space="0" w:color="auto"/>
                                                        <w:bottom w:val="none" w:sz="0" w:space="0" w:color="auto"/>
                                                        <w:right w:val="none" w:sz="0" w:space="0" w:color="auto"/>
                                                      </w:divBdr>
                                                    </w:div>
                                                    <w:div w:id="1738164142">
                                                      <w:marLeft w:val="0"/>
                                                      <w:marRight w:val="0"/>
                                                      <w:marTop w:val="0"/>
                                                      <w:marBottom w:val="0"/>
                                                      <w:divBdr>
                                                        <w:top w:val="none" w:sz="0" w:space="0" w:color="auto"/>
                                                        <w:left w:val="none" w:sz="0" w:space="0" w:color="auto"/>
                                                        <w:bottom w:val="none" w:sz="0" w:space="0" w:color="auto"/>
                                                        <w:right w:val="none" w:sz="0" w:space="0" w:color="auto"/>
                                                      </w:divBdr>
                                                    </w:div>
                                                    <w:div w:id="1823083484">
                                                      <w:marLeft w:val="0"/>
                                                      <w:marRight w:val="0"/>
                                                      <w:marTop w:val="0"/>
                                                      <w:marBottom w:val="0"/>
                                                      <w:divBdr>
                                                        <w:top w:val="none" w:sz="0" w:space="0" w:color="auto"/>
                                                        <w:left w:val="none" w:sz="0" w:space="0" w:color="auto"/>
                                                        <w:bottom w:val="none" w:sz="0" w:space="0" w:color="auto"/>
                                                        <w:right w:val="none" w:sz="0" w:space="0" w:color="auto"/>
                                                      </w:divBdr>
                                                    </w:div>
                                                    <w:div w:id="1992712705">
                                                      <w:marLeft w:val="0"/>
                                                      <w:marRight w:val="0"/>
                                                      <w:marTop w:val="0"/>
                                                      <w:marBottom w:val="0"/>
                                                      <w:divBdr>
                                                        <w:top w:val="none" w:sz="0" w:space="0" w:color="auto"/>
                                                        <w:left w:val="none" w:sz="0" w:space="0" w:color="auto"/>
                                                        <w:bottom w:val="none" w:sz="0" w:space="0" w:color="auto"/>
                                                        <w:right w:val="none" w:sz="0" w:space="0" w:color="auto"/>
                                                      </w:divBdr>
                                                    </w:div>
                                                    <w:div w:id="183784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91576352">
      <w:bodyDiv w:val="1"/>
      <w:marLeft w:val="0"/>
      <w:marRight w:val="0"/>
      <w:marTop w:val="0"/>
      <w:marBottom w:val="0"/>
      <w:divBdr>
        <w:top w:val="none" w:sz="0" w:space="0" w:color="auto"/>
        <w:left w:val="none" w:sz="0" w:space="0" w:color="auto"/>
        <w:bottom w:val="none" w:sz="0" w:space="0" w:color="auto"/>
        <w:right w:val="none" w:sz="0" w:space="0" w:color="auto"/>
      </w:divBdr>
      <w:divsChild>
        <w:div w:id="325397797">
          <w:marLeft w:val="0"/>
          <w:marRight w:val="0"/>
          <w:marTop w:val="0"/>
          <w:marBottom w:val="0"/>
          <w:divBdr>
            <w:top w:val="none" w:sz="0" w:space="0" w:color="auto"/>
            <w:left w:val="none" w:sz="0" w:space="0" w:color="auto"/>
            <w:bottom w:val="none" w:sz="0" w:space="0" w:color="auto"/>
            <w:right w:val="none" w:sz="0" w:space="0" w:color="auto"/>
          </w:divBdr>
          <w:divsChild>
            <w:div w:id="1554804901">
              <w:marLeft w:val="0"/>
              <w:marRight w:val="0"/>
              <w:marTop w:val="0"/>
              <w:marBottom w:val="0"/>
              <w:divBdr>
                <w:top w:val="none" w:sz="0" w:space="0" w:color="auto"/>
                <w:left w:val="none" w:sz="0" w:space="0" w:color="auto"/>
                <w:bottom w:val="none" w:sz="0" w:space="0" w:color="auto"/>
                <w:right w:val="none" w:sz="0" w:space="0" w:color="auto"/>
              </w:divBdr>
              <w:divsChild>
                <w:div w:id="354187311">
                  <w:marLeft w:val="0"/>
                  <w:marRight w:val="0"/>
                  <w:marTop w:val="0"/>
                  <w:marBottom w:val="0"/>
                  <w:divBdr>
                    <w:top w:val="none" w:sz="0" w:space="0" w:color="auto"/>
                    <w:left w:val="none" w:sz="0" w:space="0" w:color="auto"/>
                    <w:bottom w:val="none" w:sz="0" w:space="0" w:color="auto"/>
                    <w:right w:val="none" w:sz="0" w:space="0" w:color="auto"/>
                  </w:divBdr>
                  <w:divsChild>
                    <w:div w:id="1478689379">
                      <w:marLeft w:val="0"/>
                      <w:marRight w:val="0"/>
                      <w:marTop w:val="0"/>
                      <w:marBottom w:val="0"/>
                      <w:divBdr>
                        <w:top w:val="none" w:sz="0" w:space="0" w:color="auto"/>
                        <w:left w:val="none" w:sz="0" w:space="0" w:color="auto"/>
                        <w:bottom w:val="none" w:sz="0" w:space="0" w:color="auto"/>
                        <w:right w:val="none" w:sz="0" w:space="0" w:color="auto"/>
                      </w:divBdr>
                      <w:divsChild>
                        <w:div w:id="1804806840">
                          <w:marLeft w:val="0"/>
                          <w:marRight w:val="0"/>
                          <w:marTop w:val="0"/>
                          <w:marBottom w:val="0"/>
                          <w:divBdr>
                            <w:top w:val="none" w:sz="0" w:space="0" w:color="auto"/>
                            <w:left w:val="none" w:sz="0" w:space="0" w:color="auto"/>
                            <w:bottom w:val="none" w:sz="0" w:space="0" w:color="auto"/>
                            <w:right w:val="none" w:sz="0" w:space="0" w:color="auto"/>
                          </w:divBdr>
                          <w:divsChild>
                            <w:div w:id="1423063731">
                              <w:marLeft w:val="0"/>
                              <w:marRight w:val="0"/>
                              <w:marTop w:val="0"/>
                              <w:marBottom w:val="0"/>
                              <w:divBdr>
                                <w:top w:val="none" w:sz="0" w:space="0" w:color="auto"/>
                                <w:left w:val="none" w:sz="0" w:space="0" w:color="auto"/>
                                <w:bottom w:val="none" w:sz="0" w:space="0" w:color="auto"/>
                                <w:right w:val="none" w:sz="0" w:space="0" w:color="auto"/>
                              </w:divBdr>
                              <w:divsChild>
                                <w:div w:id="1664237992">
                                  <w:marLeft w:val="0"/>
                                  <w:marRight w:val="0"/>
                                  <w:marTop w:val="0"/>
                                  <w:marBottom w:val="0"/>
                                  <w:divBdr>
                                    <w:top w:val="none" w:sz="0" w:space="0" w:color="auto"/>
                                    <w:left w:val="none" w:sz="0" w:space="0" w:color="auto"/>
                                    <w:bottom w:val="none" w:sz="0" w:space="0" w:color="auto"/>
                                    <w:right w:val="none" w:sz="0" w:space="0" w:color="auto"/>
                                  </w:divBdr>
                                  <w:divsChild>
                                    <w:div w:id="229341632">
                                      <w:marLeft w:val="0"/>
                                      <w:marRight w:val="0"/>
                                      <w:marTop w:val="0"/>
                                      <w:marBottom w:val="0"/>
                                      <w:divBdr>
                                        <w:top w:val="none" w:sz="0" w:space="0" w:color="auto"/>
                                        <w:left w:val="none" w:sz="0" w:space="0" w:color="auto"/>
                                        <w:bottom w:val="none" w:sz="0" w:space="0" w:color="auto"/>
                                        <w:right w:val="none" w:sz="0" w:space="0" w:color="auto"/>
                                      </w:divBdr>
                                      <w:divsChild>
                                        <w:div w:id="960067005">
                                          <w:marLeft w:val="0"/>
                                          <w:marRight w:val="0"/>
                                          <w:marTop w:val="0"/>
                                          <w:marBottom w:val="0"/>
                                          <w:divBdr>
                                            <w:top w:val="none" w:sz="0" w:space="0" w:color="auto"/>
                                            <w:left w:val="none" w:sz="0" w:space="0" w:color="auto"/>
                                            <w:bottom w:val="none" w:sz="0" w:space="0" w:color="auto"/>
                                            <w:right w:val="none" w:sz="0" w:space="0" w:color="auto"/>
                                          </w:divBdr>
                                          <w:divsChild>
                                            <w:div w:id="1625886245">
                                              <w:marLeft w:val="0"/>
                                              <w:marRight w:val="0"/>
                                              <w:marTop w:val="0"/>
                                              <w:marBottom w:val="0"/>
                                              <w:divBdr>
                                                <w:top w:val="none" w:sz="0" w:space="0" w:color="auto"/>
                                                <w:left w:val="none" w:sz="0" w:space="0" w:color="auto"/>
                                                <w:bottom w:val="none" w:sz="0" w:space="0" w:color="auto"/>
                                                <w:right w:val="none" w:sz="0" w:space="0" w:color="auto"/>
                                              </w:divBdr>
                                              <w:divsChild>
                                                <w:div w:id="714159117">
                                                  <w:marLeft w:val="0"/>
                                                  <w:marRight w:val="0"/>
                                                  <w:marTop w:val="0"/>
                                                  <w:marBottom w:val="0"/>
                                                  <w:divBdr>
                                                    <w:top w:val="none" w:sz="0" w:space="0" w:color="auto"/>
                                                    <w:left w:val="none" w:sz="0" w:space="0" w:color="auto"/>
                                                    <w:bottom w:val="none" w:sz="0" w:space="0" w:color="auto"/>
                                                    <w:right w:val="none" w:sz="0" w:space="0" w:color="auto"/>
                                                  </w:divBdr>
                                                  <w:divsChild>
                                                    <w:div w:id="757021348">
                                                      <w:marLeft w:val="0"/>
                                                      <w:marRight w:val="0"/>
                                                      <w:marTop w:val="0"/>
                                                      <w:marBottom w:val="0"/>
                                                      <w:divBdr>
                                                        <w:top w:val="none" w:sz="0" w:space="0" w:color="auto"/>
                                                        <w:left w:val="none" w:sz="0" w:space="0" w:color="auto"/>
                                                        <w:bottom w:val="none" w:sz="0" w:space="0" w:color="auto"/>
                                                        <w:right w:val="none" w:sz="0" w:space="0" w:color="auto"/>
                                                      </w:divBdr>
                                                    </w:div>
                                                    <w:div w:id="1043094477">
                                                      <w:marLeft w:val="0"/>
                                                      <w:marRight w:val="0"/>
                                                      <w:marTop w:val="0"/>
                                                      <w:marBottom w:val="0"/>
                                                      <w:divBdr>
                                                        <w:top w:val="none" w:sz="0" w:space="0" w:color="auto"/>
                                                        <w:left w:val="none" w:sz="0" w:space="0" w:color="auto"/>
                                                        <w:bottom w:val="none" w:sz="0" w:space="0" w:color="auto"/>
                                                        <w:right w:val="none" w:sz="0" w:space="0" w:color="auto"/>
                                                      </w:divBdr>
                                                    </w:div>
                                                    <w:div w:id="1781485522">
                                                      <w:marLeft w:val="0"/>
                                                      <w:marRight w:val="0"/>
                                                      <w:marTop w:val="0"/>
                                                      <w:marBottom w:val="0"/>
                                                      <w:divBdr>
                                                        <w:top w:val="none" w:sz="0" w:space="0" w:color="auto"/>
                                                        <w:left w:val="none" w:sz="0" w:space="0" w:color="auto"/>
                                                        <w:bottom w:val="none" w:sz="0" w:space="0" w:color="auto"/>
                                                        <w:right w:val="none" w:sz="0" w:space="0" w:color="auto"/>
                                                      </w:divBdr>
                                                    </w:div>
                                                    <w:div w:id="1437557996">
                                                      <w:marLeft w:val="0"/>
                                                      <w:marRight w:val="0"/>
                                                      <w:marTop w:val="0"/>
                                                      <w:marBottom w:val="0"/>
                                                      <w:divBdr>
                                                        <w:top w:val="none" w:sz="0" w:space="0" w:color="auto"/>
                                                        <w:left w:val="none" w:sz="0" w:space="0" w:color="auto"/>
                                                        <w:bottom w:val="none" w:sz="0" w:space="0" w:color="auto"/>
                                                        <w:right w:val="none" w:sz="0" w:space="0" w:color="auto"/>
                                                      </w:divBdr>
                                                    </w:div>
                                                    <w:div w:id="1787119302">
                                                      <w:marLeft w:val="0"/>
                                                      <w:marRight w:val="0"/>
                                                      <w:marTop w:val="0"/>
                                                      <w:marBottom w:val="0"/>
                                                      <w:divBdr>
                                                        <w:top w:val="none" w:sz="0" w:space="0" w:color="auto"/>
                                                        <w:left w:val="none" w:sz="0" w:space="0" w:color="auto"/>
                                                        <w:bottom w:val="none" w:sz="0" w:space="0" w:color="auto"/>
                                                        <w:right w:val="none" w:sz="0" w:space="0" w:color="auto"/>
                                                      </w:divBdr>
                                                    </w:div>
                                                    <w:div w:id="1155073837">
                                                      <w:marLeft w:val="0"/>
                                                      <w:marRight w:val="0"/>
                                                      <w:marTop w:val="0"/>
                                                      <w:marBottom w:val="0"/>
                                                      <w:divBdr>
                                                        <w:top w:val="none" w:sz="0" w:space="0" w:color="auto"/>
                                                        <w:left w:val="none" w:sz="0" w:space="0" w:color="auto"/>
                                                        <w:bottom w:val="none" w:sz="0" w:space="0" w:color="auto"/>
                                                        <w:right w:val="none" w:sz="0" w:space="0" w:color="auto"/>
                                                      </w:divBdr>
                                                    </w:div>
                                                    <w:div w:id="1563517666">
                                                      <w:marLeft w:val="0"/>
                                                      <w:marRight w:val="0"/>
                                                      <w:marTop w:val="0"/>
                                                      <w:marBottom w:val="0"/>
                                                      <w:divBdr>
                                                        <w:top w:val="none" w:sz="0" w:space="0" w:color="auto"/>
                                                        <w:left w:val="none" w:sz="0" w:space="0" w:color="auto"/>
                                                        <w:bottom w:val="none" w:sz="0" w:space="0" w:color="auto"/>
                                                        <w:right w:val="none" w:sz="0" w:space="0" w:color="auto"/>
                                                      </w:divBdr>
                                                    </w:div>
                                                    <w:div w:id="686978267">
                                                      <w:marLeft w:val="0"/>
                                                      <w:marRight w:val="0"/>
                                                      <w:marTop w:val="0"/>
                                                      <w:marBottom w:val="0"/>
                                                      <w:divBdr>
                                                        <w:top w:val="none" w:sz="0" w:space="0" w:color="auto"/>
                                                        <w:left w:val="none" w:sz="0" w:space="0" w:color="auto"/>
                                                        <w:bottom w:val="none" w:sz="0" w:space="0" w:color="auto"/>
                                                        <w:right w:val="none" w:sz="0" w:space="0" w:color="auto"/>
                                                      </w:divBdr>
                                                    </w:div>
                                                    <w:div w:id="703403463">
                                                      <w:marLeft w:val="0"/>
                                                      <w:marRight w:val="0"/>
                                                      <w:marTop w:val="0"/>
                                                      <w:marBottom w:val="0"/>
                                                      <w:divBdr>
                                                        <w:top w:val="none" w:sz="0" w:space="0" w:color="auto"/>
                                                        <w:left w:val="none" w:sz="0" w:space="0" w:color="auto"/>
                                                        <w:bottom w:val="none" w:sz="0" w:space="0" w:color="auto"/>
                                                        <w:right w:val="none" w:sz="0" w:space="0" w:color="auto"/>
                                                      </w:divBdr>
                                                    </w:div>
                                                    <w:div w:id="1998340461">
                                                      <w:marLeft w:val="0"/>
                                                      <w:marRight w:val="0"/>
                                                      <w:marTop w:val="0"/>
                                                      <w:marBottom w:val="0"/>
                                                      <w:divBdr>
                                                        <w:top w:val="none" w:sz="0" w:space="0" w:color="auto"/>
                                                        <w:left w:val="none" w:sz="0" w:space="0" w:color="auto"/>
                                                        <w:bottom w:val="none" w:sz="0" w:space="0" w:color="auto"/>
                                                        <w:right w:val="none" w:sz="0" w:space="0" w:color="auto"/>
                                                      </w:divBdr>
                                                    </w:div>
                                                    <w:div w:id="315424838">
                                                      <w:marLeft w:val="0"/>
                                                      <w:marRight w:val="0"/>
                                                      <w:marTop w:val="0"/>
                                                      <w:marBottom w:val="0"/>
                                                      <w:divBdr>
                                                        <w:top w:val="none" w:sz="0" w:space="0" w:color="auto"/>
                                                        <w:left w:val="none" w:sz="0" w:space="0" w:color="auto"/>
                                                        <w:bottom w:val="none" w:sz="0" w:space="0" w:color="auto"/>
                                                        <w:right w:val="none" w:sz="0" w:space="0" w:color="auto"/>
                                                      </w:divBdr>
                                                    </w:div>
                                                    <w:div w:id="386027570">
                                                      <w:marLeft w:val="0"/>
                                                      <w:marRight w:val="0"/>
                                                      <w:marTop w:val="0"/>
                                                      <w:marBottom w:val="0"/>
                                                      <w:divBdr>
                                                        <w:top w:val="none" w:sz="0" w:space="0" w:color="auto"/>
                                                        <w:left w:val="none" w:sz="0" w:space="0" w:color="auto"/>
                                                        <w:bottom w:val="none" w:sz="0" w:space="0" w:color="auto"/>
                                                        <w:right w:val="none" w:sz="0" w:space="0" w:color="auto"/>
                                                      </w:divBdr>
                                                    </w:div>
                                                    <w:div w:id="665326220">
                                                      <w:marLeft w:val="0"/>
                                                      <w:marRight w:val="0"/>
                                                      <w:marTop w:val="0"/>
                                                      <w:marBottom w:val="0"/>
                                                      <w:divBdr>
                                                        <w:top w:val="none" w:sz="0" w:space="0" w:color="auto"/>
                                                        <w:left w:val="none" w:sz="0" w:space="0" w:color="auto"/>
                                                        <w:bottom w:val="none" w:sz="0" w:space="0" w:color="auto"/>
                                                        <w:right w:val="none" w:sz="0" w:space="0" w:color="auto"/>
                                                      </w:divBdr>
                                                    </w:div>
                                                    <w:div w:id="2136216898">
                                                      <w:marLeft w:val="0"/>
                                                      <w:marRight w:val="0"/>
                                                      <w:marTop w:val="0"/>
                                                      <w:marBottom w:val="0"/>
                                                      <w:divBdr>
                                                        <w:top w:val="none" w:sz="0" w:space="0" w:color="auto"/>
                                                        <w:left w:val="none" w:sz="0" w:space="0" w:color="auto"/>
                                                        <w:bottom w:val="none" w:sz="0" w:space="0" w:color="auto"/>
                                                        <w:right w:val="none" w:sz="0" w:space="0" w:color="auto"/>
                                                      </w:divBdr>
                                                    </w:div>
                                                    <w:div w:id="121776008">
                                                      <w:marLeft w:val="0"/>
                                                      <w:marRight w:val="0"/>
                                                      <w:marTop w:val="0"/>
                                                      <w:marBottom w:val="0"/>
                                                      <w:divBdr>
                                                        <w:top w:val="none" w:sz="0" w:space="0" w:color="auto"/>
                                                        <w:left w:val="none" w:sz="0" w:space="0" w:color="auto"/>
                                                        <w:bottom w:val="none" w:sz="0" w:space="0" w:color="auto"/>
                                                        <w:right w:val="none" w:sz="0" w:space="0" w:color="auto"/>
                                                      </w:divBdr>
                                                    </w:div>
                                                    <w:div w:id="386413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readingroom.lsc.gov.uk/lsc/National/nat-mentalhealthstrategy-mar09.pdf" TargetMode="External"/><Relationship Id="rId2" Type="http://schemas.openxmlformats.org/officeDocument/2006/relationships/hyperlink" Target="http://www.statistics.gov.uk/downloads/theme_labour/LFSHQS/2010/Table01.xls" TargetMode="External"/><Relationship Id="rId1" Type="http://schemas.openxmlformats.org/officeDocument/2006/relationships/hyperlink" Target="https://www.education.gov.uk/publications/standard/publicationDetail/Page1/CM%208027" TargetMode="External"/><Relationship Id="rId5" Type="http://schemas.openxmlformats.org/officeDocument/2006/relationships/hyperlink" Target="http://www.equalityhumanrights.com/advice-and-guidance/public-sector-equality-duty/faqs-on-the-equality-duty/" TargetMode="External"/><Relationship Id="rId4" Type="http://schemas.openxmlformats.org/officeDocument/2006/relationships/hyperlink" Target="http://www.legislation.gov.uk/ukpga/2010/15/pdfs/ukpga_20100015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33DB8D-8F46-4E23-9B58-327BCBD77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10</Pages>
  <Words>3688</Words>
  <Characters>21024</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Peter's</dc:creator>
  <cp:lastModifiedBy>Peter's</cp:lastModifiedBy>
  <cp:revision>5</cp:revision>
  <cp:lastPrinted>2012-01-23T15:14:00Z</cp:lastPrinted>
  <dcterms:created xsi:type="dcterms:W3CDTF">2012-03-29T22:15:00Z</dcterms:created>
  <dcterms:modified xsi:type="dcterms:W3CDTF">2012-03-29T22:56:00Z</dcterms:modified>
</cp:coreProperties>
</file>